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Black" w:cs="Arial Black" w:eastAsia="Arial Black" w:hAnsi="Arial Black"/>
          <w:b/>
          <w:bCs/>
          <w:color w:val="7B2FBE"/>
          <w:sz w:val="48"/>
          <w:szCs w:val="48"/>
        </w:rPr>
        <w:t xml:space="preserve">GESTIÓN POR PROCESOS</w:t>
      </w:r>
    </w:p>
    <w:p>
      <w:pPr>
        <w:spacing w:before="0" w:after="120"/>
        <w:jc w:val="center"/>
      </w:pPr>
      <w:r>
        <w:rPr>
          <w:rFonts w:ascii="Arial" w:cs="Arial" w:eastAsia="Arial" w:hAnsi="Arial"/>
          <w:b/>
          <w:bCs/>
          <w:color w:val="1A1A2E"/>
          <w:sz w:val="56"/>
          <w:szCs w:val="56"/>
        </w:rPr>
        <w:t xml:space="preserve">MAPA DE PROCESOS:</w:t>
      </w:r>
    </w:p>
    <w:p>
      <w:pPr>
        <w:spacing w:before="0" w:after="400"/>
        <w:jc w:val="center"/>
      </w:pPr>
      <w:r>
        <w:rPr>
          <w:rFonts w:ascii="Arial" w:cs="Arial" w:eastAsia="Arial" w:hAnsi="Arial"/>
          <w:color w:val="0099AA"/>
          <w:sz w:val="36"/>
          <w:szCs w:val="36"/>
        </w:rPr>
        <w:t xml:space="preserve">Estructura, Niveles e Interacciones</w:t>
      </w:r>
    </w:p>
    <w:p>
      <w:pPr>
        <w:spacing w:before="200" w:after="80"/>
        <w:jc w:val="center"/>
      </w:pPr>
      <w:r>
        <w:rPr>
          <w:rFonts w:ascii="Calibri" w:cs="Calibri" w:eastAsia="Calibri" w:hAnsi="Calibri"/>
          <w:color w:val="888888"/>
          <w:sz w:val="22"/>
          <w:szCs w:val="22"/>
        </w:rPr>
        <w:t xml:space="preserve">Guía Académica · Business Process Management</w:t>
      </w:r>
    </w:p>
    <w:p>
      <w:pPr>
        <w:spacing w:before="80" w:after="1440"/>
        <w:jc w:val="center"/>
      </w:pPr>
      <w:r>
        <w:rPr>
          <w:rFonts w:ascii="Calibri" w:cs="Calibri" w:eastAsia="Calibri" w:hAnsi="Calibri"/>
          <w:color w:val="888888"/>
          <w:sz w:val="22"/>
          <w:szCs w:val="22"/>
        </w:rPr>
        <w:t xml:space="preserve">Nivel Medio (Subprocesos Incluidos)</w:t>
      </w:r>
    </w:p>
    <w:p>
      <w:r>
        <w:br w:type="page"/>
      </w:r>
    </w:p>
    <w:p>
      <w:pPr>
        <w:pStyle w:val="Heading1"/>
        <w:spacing w:before="360" w:after="180"/>
      </w:pPr>
      <w:r>
        <w:rPr>
          <w:rFonts w:ascii="Arial" w:cs="Arial" w:eastAsia="Arial" w:hAnsi="Arial"/>
          <w:b/>
          <w:bCs/>
          <w:color w:val="1A1A2E"/>
          <w:sz w:val="32"/>
          <w:szCs w:val="32"/>
        </w:rPr>
        <w:t xml:space="preserve">1. ¿Qué es un Mapa de Procesos?</w:t>
      </w:r>
    </w:p>
    <w:p>
      <w:pPr>
        <w:pBdr>
          <w:bottom w:val="single" w:color="7B2FBE" w:sz="4" w:space="1"/>
        </w:pBdr>
        <w:spacing w:before="180" w:after="180"/>
      </w:pPr>
    </w:p>
    <w:p>
      <w:pPr>
        <w:spacing w:before="80" w:after="100"/>
      </w:pPr>
      <w:r>
        <w:rPr>
          <w:rFonts w:ascii="Calibri" w:cs="Calibri" w:eastAsia="Calibri" w:hAnsi="Calibri"/>
          <w:color w:val="2D2D2D"/>
          <w:sz w:val="24"/>
          <w:szCs w:val="24"/>
        </w:rPr>
        <w:t xml:space="preserve">Un Mapa de Procesos es la representación gráfica y sistémica de todos los procesos de una organización y sus interrelaciones. Su propósito fundamental es ofrecer una visión global e integrada del funcionamiento organizacional, mostrando cómo el trabajo fluye desde la necesidad del cliente hasta su plena satisfacción.</w:t>
      </w:r>
    </w:p>
    <w:p>
      <w:pPr>
        <w:spacing w:before="60" w:after="60"/>
      </w:pPr>
    </w:p>
    <w:p>
      <w:pPr>
        <w:spacing w:before="80" w:after="100"/>
      </w:pPr>
      <w:r>
        <w:rPr>
          <w:rFonts w:ascii="Calibri" w:cs="Calibri" w:eastAsia="Calibri" w:hAnsi="Calibri"/>
          <w:color w:val="2D2D2D"/>
          <w:sz w:val="24"/>
          <w:szCs w:val="24"/>
        </w:rPr>
        <w:t xml:space="preserve">A diferencia de un organigrama —que muestra jerarquías y cargos—, el mapa de procesos muestra el CÓMO: cómo se ejecuta el trabajo, qué transforma qué, y cómo cada proceso contribuye al resultado final.</w:t>
      </w:r>
    </w:p>
    <w:p>
      <w:pPr>
        <w:spacing w:before="60" w:after="60"/>
      </w:pPr>
    </w:p>
    <w:p>
      <w:pPr>
        <w:pStyle w:val="Heading2"/>
        <w:spacing w:before="280" w:after="120"/>
      </w:pPr>
      <w:r>
        <w:rPr>
          <w:rFonts w:ascii="Arial" w:cs="Arial" w:eastAsia="Arial" w:hAnsi="Arial"/>
          <w:b/>
          <w:bCs/>
          <w:color w:val="7B2FBE"/>
          <w:sz w:val="26"/>
          <w:szCs w:val="26"/>
        </w:rPr>
        <w:t xml:space="preserve">1.1 Características Fundamentales</w:t>
      </w:r>
    </w:p>
    <w:p>
      <w:pPr>
        <w:spacing w:before="80" w:after="100"/>
      </w:pPr>
      <w:r>
        <w:rPr>
          <w:rFonts w:ascii="Calibri" w:cs="Calibri" w:eastAsia="Calibri" w:hAnsi="Calibri"/>
          <w:color w:val="2D2D2D"/>
          <w:sz w:val="24"/>
          <w:szCs w:val="24"/>
        </w:rPr>
        <w:t xml:space="preserve">El mapa de procesos, como herramienta de gestión, posee tres características esenciales que lo distinguen de otras representaciones organizacionales: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FBE" w:sz="6"/>
              <w:left w:val="single" w:color="7B2FBE" w:sz="12"/>
              <w:bottom w:val="single" w:color="DDDDEE" w:sz="1"/>
              <w:right w:val="single" w:color="DDDDEE" w:sz="1"/>
            </w:tcBorders>
            <w:shd w:fill="F5F3FF" w:val="clear"/>
            <w:tcMar>
              <w:top w:type="dxa" w:w="100"/>
              <w:left w:type="dxa" w:w="180"/>
              <w:bottom w:type="dxa" w:w="100"/>
              <w:right w:type="dxa" w:w="120"/>
            </w:tcMar>
          </w:tcPr>
          <w:p>
            <w:r>
              <w:rPr>
                <w:rFonts w:ascii="Arial" w:cs="Arial" w:eastAsia="Arial" w:hAnsi="Arial"/>
                <w:b/>
                <w:bCs/>
                <w:color w:val="7B2FBE"/>
                <w:sz w:val="24"/>
                <w:szCs w:val="24"/>
              </w:rPr>
              <w:t xml:space="preserve">◈  HOLÍSTICO</w:t>
            </w:r>
          </w:p>
          <w:p>
            <w:pPr>
              <w:spacing w:before="40" w:after="40"/>
            </w:pPr>
            <w:r>
              <w:rPr>
                <w:rFonts w:ascii="Calibri" w:cs="Calibri" w:eastAsia="Calibri" w:hAnsi="Calibri"/>
                <w:color w:val="333333"/>
                <w:sz w:val="22"/>
                <w:szCs w:val="22"/>
              </w:rPr>
              <w:t xml:space="preserve">Representa la organización en su totalidad. No es una vista parcial de un departamento o área; es el sistema completo. Permite identificar cómo cada proceso depende de los demás y cómo una falla en un proceso puede afectar toda la cadena de valor.</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9AA" w:sz="6"/>
              <w:left w:val="single" w:color="0099AA" w:sz="12"/>
              <w:bottom w:val="single" w:color="DDDDEE" w:sz="1"/>
              <w:right w:val="single" w:color="DDDDEE" w:sz="1"/>
            </w:tcBorders>
            <w:shd w:fill="F5F3FF" w:val="clear"/>
            <w:tcMar>
              <w:top w:type="dxa" w:w="100"/>
              <w:left w:type="dxa" w:w="180"/>
              <w:bottom w:type="dxa" w:w="100"/>
              <w:right w:type="dxa" w:w="120"/>
            </w:tcMar>
          </w:tcPr>
          <w:p>
            <w:r>
              <w:rPr>
                <w:rFonts w:ascii="Arial" w:cs="Arial" w:eastAsia="Arial" w:hAnsi="Arial"/>
                <w:b/>
                <w:bCs/>
                <w:color w:val="0099AA"/>
                <w:sz w:val="24"/>
                <w:szCs w:val="24"/>
              </w:rPr>
              <w:t xml:space="preserve">◉  SISTÉMICO</w:t>
            </w:r>
          </w:p>
          <w:p>
            <w:pPr>
              <w:spacing w:before="40" w:after="40"/>
            </w:pPr>
            <w:r>
              <w:rPr>
                <w:rFonts w:ascii="Calibri" w:cs="Calibri" w:eastAsia="Calibri" w:hAnsi="Calibri"/>
                <w:color w:val="333333"/>
                <w:sz w:val="22"/>
                <w:szCs w:val="22"/>
              </w:rPr>
              <w:t xml:space="preserve">Muestra las interrelaciones entre procesos. Los procesos no son entidades aisladas: se alimentan unos de otros, comparten recursos y se condicionan mutuamente. El enfoque sistémico revela estas dependencias y permite una gestión más coherente e integrada.</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6600" w:sz="6"/>
              <w:left w:val="single" w:color="CC6600" w:sz="12"/>
              <w:bottom w:val="single" w:color="DDDDEE" w:sz="1"/>
              <w:right w:val="single" w:color="DDDDEE" w:sz="1"/>
            </w:tcBorders>
            <w:shd w:fill="F5F3FF" w:val="clear"/>
            <w:tcMar>
              <w:top w:type="dxa" w:w="100"/>
              <w:left w:type="dxa" w:w="180"/>
              <w:bottom w:type="dxa" w:w="100"/>
              <w:right w:type="dxa" w:w="120"/>
            </w:tcMar>
          </w:tcPr>
          <w:p>
            <w:r>
              <w:rPr>
                <w:rFonts w:ascii="Arial" w:cs="Arial" w:eastAsia="Arial" w:hAnsi="Arial"/>
                <w:b/>
                <w:bCs/>
                <w:color w:val="CC6600"/>
                <w:sz w:val="24"/>
                <w:szCs w:val="24"/>
              </w:rPr>
              <w:t xml:space="preserve">◎  ORIENTADO AL CLIENTE</w:t>
            </w:r>
          </w:p>
          <w:p>
            <w:pPr>
              <w:spacing w:before="40" w:after="40"/>
            </w:pPr>
            <w:r>
              <w:rPr>
                <w:rFonts w:ascii="Calibri" w:cs="Calibri" w:eastAsia="Calibri" w:hAnsi="Calibri"/>
                <w:color w:val="333333"/>
                <w:sz w:val="22"/>
                <w:szCs w:val="22"/>
              </w:rPr>
              <w:t xml:space="preserve">El flujo de trabajo comienza y termina en el cliente. La necesidad del cliente es la entrada del sistema; su satisfacción es la salida esperada. Este enfoque garantiza que todos los esfuerzos organizacionales estén alineados con la creación de valor real.</w:t>
            </w:r>
          </w:p>
        </w:tc>
      </w:tr>
    </w:tbl>
    <w:p>
      <w:pPr>
        <w:spacing w:before="60" w:after="60"/>
      </w:pPr>
    </w:p>
    <w:p>
      <w:pPr>
        <w:pStyle w:val="Heading2"/>
        <w:spacing w:before="280" w:after="120"/>
      </w:pPr>
      <w:r>
        <w:rPr>
          <w:rFonts w:ascii="Arial" w:cs="Arial" w:eastAsia="Arial" w:hAnsi="Arial"/>
          <w:b/>
          <w:bCs/>
          <w:color w:val="7B2FBE"/>
          <w:sz w:val="26"/>
          <w:szCs w:val="26"/>
        </w:rPr>
        <w:t xml:space="preserve">1.2 Diferencia con otros instrumentos de gestión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EE" w:sz="1"/>
              <w:left w:val="single" w:color="DDDDEE" w:sz="1"/>
              <w:bottom w:val="single" w:color="DDDDEE" w:sz="1"/>
              <w:right w:val="single" w:color="DDDDE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Instrumento</w:t>
            </w:r>
          </w:p>
        </w:tc>
        <w:tc>
          <w:tcPr>
            <w:tcW w:type="dxa" w:w="3120"/>
            <w:tcBorders>
              <w:top w:val="single" w:color="DDDDEE" w:sz="1"/>
              <w:left w:val="single" w:color="DDDDEE" w:sz="1"/>
              <w:bottom w:val="single" w:color="DDDDEE" w:sz="1"/>
              <w:right w:val="single" w:color="DDDDE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Muestra</w:t>
            </w:r>
          </w:p>
        </w:tc>
        <w:tc>
          <w:tcPr>
            <w:tcW w:type="dxa" w:w="3120"/>
            <w:tcBorders>
              <w:top w:val="single" w:color="DDDDEE" w:sz="1"/>
              <w:left w:val="single" w:color="DDDDEE" w:sz="1"/>
              <w:bottom w:val="single" w:color="DDDDEE" w:sz="1"/>
              <w:right w:val="single" w:color="DDDDE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Limitación</w:t>
            </w:r>
          </w:p>
        </w:tc>
      </w:tr>
      <w:tr>
        <w:tc>
          <w:tcPr>
            <w:tcW w:type="dxa" w:w="3120"/>
            <w:tcBorders>
              <w:top w:val="single" w:color="DDDDEE" w:sz="1"/>
              <w:left w:val="single" w:color="DDDDEE" w:sz="1"/>
              <w:bottom w:val="single" w:color="DDDDEE" w:sz="1"/>
              <w:right w:val="single" w:color="DDDDEE" w:sz="1"/>
            </w:tcBorders>
            <w:shd w:fill="F9F7FF" w:val="clear"/>
            <w:tcMar>
              <w:top w:type="dxa" w:w="80"/>
              <w:left w:type="dxa" w:w="120"/>
              <w:bottom w:type="dxa" w:w="80"/>
              <w:right w:type="dxa" w:w="120"/>
            </w:tcMar>
          </w:tcPr>
          <w:p>
            <w:r>
              <w:rPr>
                <w:rFonts w:ascii="Calibri" w:cs="Calibri" w:eastAsia="Calibri" w:hAnsi="Calibri"/>
                <w:sz w:val="22"/>
                <w:szCs w:val="22"/>
              </w:rPr>
              <w:t xml:space="preserve">Organigrama</w:t>
            </w:r>
          </w:p>
        </w:tc>
        <w:tc>
          <w:tcPr>
            <w:tcW w:type="dxa" w:w="3120"/>
            <w:tcBorders>
              <w:top w:val="single" w:color="DDDDEE" w:sz="1"/>
              <w:left w:val="single" w:color="DDDDEE" w:sz="1"/>
              <w:bottom w:val="single" w:color="DDDDEE" w:sz="1"/>
              <w:right w:val="single" w:color="DDDDEE" w:sz="1"/>
            </w:tcBorders>
            <w:shd w:fill="F9F7FF" w:val="clear"/>
            <w:tcMar>
              <w:top w:type="dxa" w:w="80"/>
              <w:left w:type="dxa" w:w="120"/>
              <w:bottom w:type="dxa" w:w="80"/>
              <w:right w:type="dxa" w:w="120"/>
            </w:tcMar>
          </w:tcPr>
          <w:p>
            <w:r>
              <w:rPr>
                <w:rFonts w:ascii="Calibri" w:cs="Calibri" w:eastAsia="Calibri" w:hAnsi="Calibri"/>
                <w:sz w:val="22"/>
                <w:szCs w:val="22"/>
              </w:rPr>
              <w:t xml:space="preserve">Jerarquía y cargos</w:t>
            </w:r>
          </w:p>
        </w:tc>
        <w:tc>
          <w:tcPr>
            <w:tcW w:type="dxa" w:w="3120"/>
            <w:tcBorders>
              <w:top w:val="single" w:color="DDDDEE" w:sz="1"/>
              <w:left w:val="single" w:color="DDDDEE" w:sz="1"/>
              <w:bottom w:val="single" w:color="DDDDEE" w:sz="1"/>
              <w:right w:val="single" w:color="DDDDEE" w:sz="1"/>
            </w:tcBorders>
            <w:shd w:fill="F9F7FF" w:val="clear"/>
            <w:tcMar>
              <w:top w:type="dxa" w:w="80"/>
              <w:left w:type="dxa" w:w="120"/>
              <w:bottom w:type="dxa" w:w="80"/>
              <w:right w:type="dxa" w:w="120"/>
            </w:tcMar>
          </w:tcPr>
          <w:p>
            <w:r>
              <w:rPr>
                <w:rFonts w:ascii="Calibri" w:cs="Calibri" w:eastAsia="Calibri" w:hAnsi="Calibri"/>
                <w:sz w:val="22"/>
                <w:szCs w:val="22"/>
              </w:rPr>
              <w:t xml:space="preserve">No muestra el flujo de trabajo</w:t>
            </w:r>
          </w:p>
        </w:tc>
      </w:tr>
      <w:tr>
        <w:tc>
          <w:tcPr>
            <w:tcW w:type="dxa" w:w="312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alibri" w:cs="Calibri" w:eastAsia="Calibri" w:hAnsi="Calibri"/>
                <w:sz w:val="22"/>
                <w:szCs w:val="22"/>
              </w:rPr>
              <w:t xml:space="preserve">Flujograma</w:t>
            </w:r>
          </w:p>
        </w:tc>
        <w:tc>
          <w:tcPr>
            <w:tcW w:type="dxa" w:w="312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alibri" w:cs="Calibri" w:eastAsia="Calibri" w:hAnsi="Calibri"/>
                <w:sz w:val="22"/>
                <w:szCs w:val="22"/>
              </w:rPr>
              <w:t xml:space="preserve">Pasos de un proceso específico</w:t>
            </w:r>
          </w:p>
        </w:tc>
        <w:tc>
          <w:tcPr>
            <w:tcW w:type="dxa" w:w="312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alibri" w:cs="Calibri" w:eastAsia="Calibri" w:hAnsi="Calibri"/>
                <w:sz w:val="22"/>
                <w:szCs w:val="22"/>
              </w:rPr>
              <w:t xml:space="preserve">Solo muestra un proceso, no el sistema</w:t>
            </w:r>
          </w:p>
        </w:tc>
      </w:tr>
      <w:tr>
        <w:tc>
          <w:tcPr>
            <w:tcW w:type="dxa" w:w="3120"/>
            <w:tcBorders>
              <w:top w:val="single" w:color="DDDDEE" w:sz="1"/>
              <w:left w:val="single" w:color="DDDDEE" w:sz="1"/>
              <w:bottom w:val="single" w:color="DDDDEE" w:sz="1"/>
              <w:right w:val="single" w:color="DDDDEE" w:sz="1"/>
            </w:tcBorders>
            <w:shd w:fill="F9F7FF" w:val="clear"/>
            <w:tcMar>
              <w:top w:type="dxa" w:w="80"/>
              <w:left w:type="dxa" w:w="120"/>
              <w:bottom w:type="dxa" w:w="80"/>
              <w:right w:type="dxa" w:w="120"/>
            </w:tcMar>
          </w:tcPr>
          <w:p>
            <w:r>
              <w:rPr>
                <w:rFonts w:ascii="Calibri" w:cs="Calibri" w:eastAsia="Calibri" w:hAnsi="Calibri"/>
                <w:sz w:val="22"/>
                <w:szCs w:val="22"/>
              </w:rPr>
              <w:t xml:space="preserve">Mapa de Procesos</w:t>
            </w:r>
          </w:p>
        </w:tc>
        <w:tc>
          <w:tcPr>
            <w:tcW w:type="dxa" w:w="3120"/>
            <w:tcBorders>
              <w:top w:val="single" w:color="DDDDEE" w:sz="1"/>
              <w:left w:val="single" w:color="DDDDEE" w:sz="1"/>
              <w:bottom w:val="single" w:color="DDDDEE" w:sz="1"/>
              <w:right w:val="single" w:color="DDDDEE" w:sz="1"/>
            </w:tcBorders>
            <w:shd w:fill="F9F7FF" w:val="clear"/>
            <w:tcMar>
              <w:top w:type="dxa" w:w="80"/>
              <w:left w:type="dxa" w:w="120"/>
              <w:bottom w:type="dxa" w:w="80"/>
              <w:right w:type="dxa" w:w="120"/>
            </w:tcMar>
          </w:tcPr>
          <w:p>
            <w:r>
              <w:rPr>
                <w:rFonts w:ascii="Calibri" w:cs="Calibri" w:eastAsia="Calibri" w:hAnsi="Calibri"/>
                <w:sz w:val="22"/>
                <w:szCs w:val="22"/>
              </w:rPr>
              <w:t xml:space="preserve">Todo el sistema y sus interrelaciones</w:t>
            </w:r>
          </w:p>
        </w:tc>
        <w:tc>
          <w:tcPr>
            <w:tcW w:type="dxa" w:w="3120"/>
            <w:tcBorders>
              <w:top w:val="single" w:color="DDDDEE" w:sz="1"/>
              <w:left w:val="single" w:color="DDDDEE" w:sz="1"/>
              <w:bottom w:val="single" w:color="DDDDEE" w:sz="1"/>
              <w:right w:val="single" w:color="DDDDEE" w:sz="1"/>
            </w:tcBorders>
            <w:shd w:fill="F9F7FF" w:val="clear"/>
            <w:tcMar>
              <w:top w:type="dxa" w:w="80"/>
              <w:left w:type="dxa" w:w="120"/>
              <w:bottom w:type="dxa" w:w="80"/>
              <w:right w:type="dxa" w:w="120"/>
            </w:tcMar>
          </w:tcPr>
          <w:p>
            <w:r>
              <w:rPr>
                <w:rFonts w:ascii="Calibri" w:cs="Calibri" w:eastAsia="Calibri" w:hAnsi="Calibri"/>
                <w:sz w:val="22"/>
                <w:szCs w:val="22"/>
              </w:rPr>
              <w:t xml:space="preserve">Requiere actualización continua</w:t>
            </w:r>
          </w:p>
        </w:tc>
      </w:tr>
      <w:tr>
        <w:tc>
          <w:tcPr>
            <w:tcW w:type="dxa" w:w="312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alibri" w:cs="Calibri" w:eastAsia="Calibri" w:hAnsi="Calibri"/>
                <w:sz w:val="22"/>
                <w:szCs w:val="22"/>
              </w:rPr>
              <w:t xml:space="preserve">Manual de Procesos</w:t>
            </w:r>
          </w:p>
        </w:tc>
        <w:tc>
          <w:tcPr>
            <w:tcW w:type="dxa" w:w="312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alibri" w:cs="Calibri" w:eastAsia="Calibri" w:hAnsi="Calibri"/>
                <w:sz w:val="22"/>
                <w:szCs w:val="22"/>
              </w:rPr>
              <w:t xml:space="preserve">Procedimientos detallados</w:t>
            </w:r>
          </w:p>
        </w:tc>
        <w:tc>
          <w:tcPr>
            <w:tcW w:type="dxa" w:w="312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alibri" w:cs="Calibri" w:eastAsia="Calibri" w:hAnsi="Calibri"/>
                <w:sz w:val="22"/>
                <w:szCs w:val="22"/>
              </w:rPr>
              <w:t xml:space="preserve">Muy extenso para visión general</w:t>
            </w:r>
          </w:p>
        </w:tc>
      </w:tr>
    </w:tbl>
    <w:p>
      <w:r>
        <w:br w:type="page"/>
      </w:r>
    </w:p>
    <w:p>
      <w:pPr>
        <w:pStyle w:val="Heading1"/>
        <w:spacing w:before="360" w:after="180"/>
      </w:pPr>
      <w:r>
        <w:rPr>
          <w:rFonts w:ascii="Arial" w:cs="Arial" w:eastAsia="Arial" w:hAnsi="Arial"/>
          <w:b/>
          <w:bCs/>
          <w:color w:val="1A1A2E"/>
          <w:sz w:val="32"/>
          <w:szCs w:val="32"/>
        </w:rPr>
        <w:t xml:space="preserve">2. Los Tres Niveles del Mapa de Procesos</w:t>
      </w:r>
    </w:p>
    <w:p>
      <w:pPr>
        <w:pBdr>
          <w:bottom w:val="single" w:color="7B2FBE" w:sz="4" w:space="1"/>
        </w:pBdr>
        <w:spacing w:before="180" w:after="180"/>
      </w:pPr>
    </w:p>
    <w:p>
      <w:pPr>
        <w:spacing w:before="80" w:after="100"/>
      </w:pPr>
      <w:r>
        <w:rPr>
          <w:rFonts w:ascii="Calibri" w:cs="Calibri" w:eastAsia="Calibri" w:hAnsi="Calibri"/>
          <w:color w:val="2D2D2D"/>
          <w:sz w:val="24"/>
          <w:szCs w:val="24"/>
        </w:rPr>
        <w:t xml:space="preserve">La estructura clásica de un Mapa de Procesos organiza los procesos en tres niveles o categorías, cada uno con un rol específico dentro del sistema organizacional. Esta clasificación es transversal a cualquier industria o tipo de organización.</w:t>
      </w:r>
    </w:p>
    <w:p>
      <w:pPr>
        <w:spacing w:before="60" w:after="60"/>
      </w:pPr>
    </w:p>
    <w:p>
      <w:pPr>
        <w:pStyle w:val="Heading2"/>
        <w:spacing w:before="280" w:after="120"/>
      </w:pPr>
      <w:r>
        <w:rPr>
          <w:rFonts w:ascii="Arial" w:cs="Arial" w:eastAsia="Arial" w:hAnsi="Arial"/>
          <w:b/>
          <w:bCs/>
          <w:color w:val="7B2FBE"/>
          <w:sz w:val="26"/>
          <w:szCs w:val="26"/>
        </w:rPr>
        <w:t xml:space="preserve">2.1 Procesos Estratégicos</w:t>
      </w:r>
    </w:p>
    <w:p>
      <w:pPr>
        <w:spacing w:before="80" w:after="100"/>
      </w:pPr>
      <w:r>
        <w:rPr>
          <w:rFonts w:ascii="Calibri" w:cs="Calibri" w:eastAsia="Calibri" w:hAnsi="Calibri"/>
          <w:color w:val="2D2D2D"/>
          <w:sz w:val="24"/>
          <w:szCs w:val="24"/>
        </w:rPr>
        <w:t xml:space="preserve">Los procesos estratégicos son aquellos que definen el rumbo, la visión y las directrices bajo las cuales opera toda la organización. Son responsabilidad directa de la alta dirección y condicionan el comportamiento del resto de los procesos.</w:t>
      </w:r>
    </w:p>
    <w:p>
      <w:pPr>
        <w:spacing w:before="60" w:after="60"/>
      </w:pPr>
    </w:p>
    <w:p>
      <w:pPr>
        <w:spacing w:before="80" w:after="100"/>
      </w:pPr>
      <w:r>
        <w:rPr>
          <w:rFonts w:ascii="Calibri" w:cs="Calibri" w:eastAsia="Calibri" w:hAnsi="Calibri"/>
          <w:color w:val="2D2D2D"/>
          <w:sz w:val="24"/>
          <w:szCs w:val="24"/>
        </w:rPr>
        <w:t xml:space="preserve">Su función es orientar, no ejecutar. No generan valor directamente al cliente externo, pero sin ellos la organización carecería de dirección clara.</w:t>
      </w:r>
    </w:p>
    <w:p>
      <w:pPr>
        <w:spacing w:before="60" w:after="60"/>
      </w:pPr>
    </w:p>
    <w:p>
      <w:pPr>
        <w:spacing w:before="80" w:after="100"/>
      </w:pPr>
      <w:r>
        <w:rPr>
          <w:rFonts w:ascii="Calibri" w:cs="Calibri" w:eastAsia="Calibri" w:hAnsi="Calibri"/>
          <w:b/>
          <w:bCs/>
          <w:color w:val="2D2D2D"/>
          <w:sz w:val="24"/>
          <w:szCs w:val="24"/>
        </w:rPr>
        <w:t xml:space="preserve">Subprocesos típicos:</w:t>
      </w:r>
    </w:p>
    <w:p>
      <w:pPr>
        <w:pStyle w:val="ListParagraph"/>
        <w:numPr>
          <w:ilvl w:val="0"/>
          <w:numId w:val="2"/>
        </w:numPr>
        <w:spacing w:before="60" w:after="60"/>
      </w:pPr>
      <w:r>
        <w:rPr>
          <w:rFonts w:ascii="Calibri" w:cs="Calibri" w:eastAsia="Calibri" w:hAnsi="Calibri"/>
          <w:color w:val="2D2D2D"/>
          <w:sz w:val="24"/>
          <w:szCs w:val="24"/>
        </w:rPr>
        <w:t xml:space="preserve">Planificación estratégica: definición de misión, visión y objetivos organizacionales.</w:t>
      </w:r>
    </w:p>
    <w:p>
      <w:pPr>
        <w:pStyle w:val="ListParagraph"/>
        <w:numPr>
          <w:ilvl w:val="0"/>
          <w:numId w:val="2"/>
        </w:numPr>
        <w:spacing w:before="60" w:after="60"/>
      </w:pPr>
      <w:r>
        <w:rPr>
          <w:rFonts w:ascii="Calibri" w:cs="Calibri" w:eastAsia="Calibri" w:hAnsi="Calibri"/>
          <w:color w:val="2D2D2D"/>
          <w:sz w:val="24"/>
          <w:szCs w:val="24"/>
        </w:rPr>
        <w:t xml:space="preserve">Gestión de la calidad: establecimiento de estándares, políticas y sistemas de calidad.</w:t>
      </w:r>
    </w:p>
    <w:p>
      <w:pPr>
        <w:pStyle w:val="ListParagraph"/>
        <w:numPr>
          <w:ilvl w:val="0"/>
          <w:numId w:val="2"/>
        </w:numPr>
        <w:spacing w:before="60" w:after="60"/>
      </w:pPr>
      <w:r>
        <w:rPr>
          <w:rFonts w:ascii="Calibri" w:cs="Calibri" w:eastAsia="Calibri" w:hAnsi="Calibri"/>
          <w:color w:val="2D2D2D"/>
          <w:sz w:val="24"/>
          <w:szCs w:val="24"/>
        </w:rPr>
        <w:t xml:space="preserve">Revisión por la dirección: seguimiento periódico de indicadores clave de desempeño.</w:t>
      </w:r>
    </w:p>
    <w:p>
      <w:pPr>
        <w:pStyle w:val="ListParagraph"/>
        <w:numPr>
          <w:ilvl w:val="0"/>
          <w:numId w:val="2"/>
        </w:numPr>
        <w:spacing w:before="60" w:after="60"/>
      </w:pPr>
      <w:r>
        <w:rPr>
          <w:rFonts w:ascii="Calibri" w:cs="Calibri" w:eastAsia="Calibri" w:hAnsi="Calibri"/>
          <w:color w:val="2D2D2D"/>
          <w:sz w:val="24"/>
          <w:szCs w:val="24"/>
        </w:rPr>
        <w:t xml:space="preserve">Gestión de riesgos: identificación y mitigación de riesgos estratégicos.</w:t>
      </w:r>
    </w:p>
    <w:p>
      <w:pPr>
        <w:pStyle w:val="ListParagraph"/>
        <w:numPr>
          <w:ilvl w:val="0"/>
          <w:numId w:val="2"/>
        </w:numPr>
        <w:spacing w:before="60" w:after="60"/>
      </w:pPr>
      <w:r>
        <w:rPr>
          <w:rFonts w:ascii="Calibri" w:cs="Calibri" w:eastAsia="Calibri" w:hAnsi="Calibri"/>
          <w:color w:val="2D2D2D"/>
          <w:sz w:val="24"/>
          <w:szCs w:val="24"/>
        </w:rPr>
        <w:t xml:space="preserve">Comunicación institucional: definición de mensajes clave hacia stakeholders.</w:t>
      </w:r>
    </w:p>
    <w:p>
      <w:pPr>
        <w:spacing w:before="60" w:after="60"/>
      </w:pPr>
    </w:p>
    <w:p>
      <w:pPr>
        <w:pStyle w:val="Heading2"/>
        <w:spacing w:before="280" w:after="120"/>
      </w:pPr>
      <w:r>
        <w:rPr>
          <w:rFonts w:ascii="Arial" w:cs="Arial" w:eastAsia="Arial" w:hAnsi="Arial"/>
          <w:b/>
          <w:bCs/>
          <w:color w:val="7B2FBE"/>
          <w:sz w:val="26"/>
          <w:szCs w:val="26"/>
        </w:rPr>
        <w:t xml:space="preserve">2.2 Procesos Operativos (Misionales)</w:t>
      </w:r>
    </w:p>
    <w:p>
      <w:pPr>
        <w:spacing w:before="80" w:after="100"/>
      </w:pPr>
      <w:r>
        <w:rPr>
          <w:rFonts w:ascii="Calibri" w:cs="Calibri" w:eastAsia="Calibri" w:hAnsi="Calibri"/>
          <w:color w:val="2D2D2D"/>
          <w:sz w:val="24"/>
          <w:szCs w:val="24"/>
        </w:rPr>
        <w:t xml:space="preserve">Los procesos operativos, también llamados procesos misionales o de realización, son el núcleo de valor de la organización. Son los que transforman los recursos (materiales, información, trabajo) en productos o servicios que el cliente recibe y valora.</w:t>
      </w:r>
    </w:p>
    <w:p>
      <w:pPr>
        <w:spacing w:before="60" w:after="60"/>
      </w:pPr>
    </w:p>
    <w:p>
      <w:pPr>
        <w:spacing w:before="80" w:after="100"/>
      </w:pPr>
      <w:r>
        <w:rPr>
          <w:rFonts w:ascii="Calibri" w:cs="Calibri" w:eastAsia="Calibri" w:hAnsi="Calibri"/>
          <w:color w:val="2D2D2D"/>
          <w:sz w:val="24"/>
          <w:szCs w:val="24"/>
        </w:rPr>
        <w:t xml:space="preserve">Estos procesos justifican la existencia de la organización. Representan la cadena de valor desde la comprensión de la necesidad del cliente hasta la entrega del resultado.</w:t>
      </w:r>
    </w:p>
    <w:p>
      <w:pPr>
        <w:spacing w:before="60" w:after="60"/>
      </w:pPr>
    </w:p>
    <w:p>
      <w:pPr>
        <w:pStyle w:val="Heading3"/>
        <w:spacing w:before="200" w:after="80"/>
      </w:pPr>
      <w:r>
        <w:rPr>
          <w:rFonts w:ascii="Arial" w:cs="Arial" w:eastAsia="Arial" w:hAnsi="Arial"/>
          <w:b/>
          <w:bCs/>
          <w:color w:val="0099AA"/>
          <w:sz w:val="22"/>
          <w:szCs w:val="22"/>
        </w:rPr>
        <w:t xml:space="preserve">2.2.1 Diseño y Desarrollo</w:t>
      </w:r>
    </w:p>
    <w:p>
      <w:pPr>
        <w:spacing w:before="80" w:after="100"/>
      </w:pPr>
      <w:r>
        <w:rPr>
          <w:rFonts w:ascii="Calibri" w:cs="Calibri" w:eastAsia="Calibri" w:hAnsi="Calibri"/>
          <w:color w:val="2D2D2D"/>
          <w:sz w:val="24"/>
          <w:szCs w:val="24"/>
        </w:rPr>
        <w:t xml:space="preserve">Proceso encargado de convertir las necesidades del cliente en especificaciones técnicas y diseños concretos.</w:t>
      </w:r>
    </w:p>
    <w:p>
      <w:pPr>
        <w:pStyle w:val="ListParagraph"/>
        <w:numPr>
          <w:ilvl w:val="0"/>
          <w:numId w:val="2"/>
        </w:numPr>
        <w:spacing w:before="60" w:after="60"/>
      </w:pPr>
      <w:r>
        <w:rPr>
          <w:rFonts w:ascii="Calibri" w:cs="Calibri" w:eastAsia="Calibri" w:hAnsi="Calibri"/>
          <w:color w:val="2D2D2D"/>
          <w:sz w:val="24"/>
          <w:szCs w:val="24"/>
        </w:rPr>
        <w:t xml:space="preserve">Investigación y análisis de necesidades del cliente.</w:t>
      </w:r>
    </w:p>
    <w:p>
      <w:pPr>
        <w:pStyle w:val="ListParagraph"/>
        <w:numPr>
          <w:ilvl w:val="0"/>
          <w:numId w:val="2"/>
        </w:numPr>
        <w:spacing w:before="60" w:after="60"/>
      </w:pPr>
      <w:r>
        <w:rPr>
          <w:rFonts w:ascii="Calibri" w:cs="Calibri" w:eastAsia="Calibri" w:hAnsi="Calibri"/>
          <w:color w:val="2D2D2D"/>
          <w:sz w:val="24"/>
          <w:szCs w:val="24"/>
        </w:rPr>
        <w:t xml:space="preserve">Diseño conceptual y técnico del producto o servicio.</w:t>
      </w:r>
    </w:p>
    <w:p>
      <w:pPr>
        <w:pStyle w:val="ListParagraph"/>
        <w:numPr>
          <w:ilvl w:val="0"/>
          <w:numId w:val="2"/>
        </w:numPr>
        <w:spacing w:before="60" w:after="60"/>
      </w:pPr>
      <w:r>
        <w:rPr>
          <w:rFonts w:ascii="Calibri" w:cs="Calibri" w:eastAsia="Calibri" w:hAnsi="Calibri"/>
          <w:color w:val="2D2D2D"/>
          <w:sz w:val="24"/>
          <w:szCs w:val="24"/>
        </w:rPr>
        <w:t xml:space="preserve">Prototipado y validación del diseño.</w:t>
      </w:r>
    </w:p>
    <w:p>
      <w:pPr>
        <w:pStyle w:val="ListParagraph"/>
        <w:numPr>
          <w:ilvl w:val="0"/>
          <w:numId w:val="2"/>
        </w:numPr>
        <w:spacing w:before="60" w:after="60"/>
      </w:pPr>
      <w:r>
        <w:rPr>
          <w:rFonts w:ascii="Calibri" w:cs="Calibri" w:eastAsia="Calibri" w:hAnsi="Calibri"/>
          <w:color w:val="2D2D2D"/>
          <w:sz w:val="24"/>
          <w:szCs w:val="24"/>
        </w:rPr>
        <w:t xml:space="preserve">Aprobación y liberación del diseño para producción.</w:t>
      </w:r>
    </w:p>
    <w:p>
      <w:pPr>
        <w:spacing w:before="60" w:after="60"/>
      </w:pPr>
    </w:p>
    <w:p>
      <w:pPr>
        <w:pStyle w:val="Heading3"/>
        <w:spacing w:before="200" w:after="80"/>
      </w:pPr>
      <w:r>
        <w:rPr>
          <w:rFonts w:ascii="Arial" w:cs="Arial" w:eastAsia="Arial" w:hAnsi="Arial"/>
          <w:b/>
          <w:bCs/>
          <w:color w:val="0099AA"/>
          <w:sz w:val="22"/>
          <w:szCs w:val="22"/>
        </w:rPr>
        <w:t xml:space="preserve">2.2.2 Producción / Prestación del Servicio</w:t>
      </w:r>
    </w:p>
    <w:p>
      <w:pPr>
        <w:spacing w:before="80" w:after="100"/>
      </w:pPr>
      <w:r>
        <w:rPr>
          <w:rFonts w:ascii="Calibri" w:cs="Calibri" w:eastAsia="Calibri" w:hAnsi="Calibri"/>
          <w:color w:val="2D2D2D"/>
          <w:sz w:val="24"/>
          <w:szCs w:val="24"/>
        </w:rPr>
        <w:t xml:space="preserve">Proceso central donde se produce el bien o se presta el servicio conforme a las especificaciones definidas.</w:t>
      </w:r>
    </w:p>
    <w:p>
      <w:pPr>
        <w:pStyle w:val="ListParagraph"/>
        <w:numPr>
          <w:ilvl w:val="0"/>
          <w:numId w:val="2"/>
        </w:numPr>
        <w:spacing w:before="60" w:after="60"/>
      </w:pPr>
      <w:r>
        <w:rPr>
          <w:rFonts w:ascii="Calibri" w:cs="Calibri" w:eastAsia="Calibri" w:hAnsi="Calibri"/>
          <w:color w:val="2D2D2D"/>
          <w:sz w:val="24"/>
          <w:szCs w:val="24"/>
        </w:rPr>
        <w:t xml:space="preserve">Planificación de la producción o prestación del servicio.</w:t>
      </w:r>
    </w:p>
    <w:p>
      <w:pPr>
        <w:pStyle w:val="ListParagraph"/>
        <w:numPr>
          <w:ilvl w:val="0"/>
          <w:numId w:val="2"/>
        </w:numPr>
        <w:spacing w:before="60" w:after="60"/>
      </w:pPr>
      <w:r>
        <w:rPr>
          <w:rFonts w:ascii="Calibri" w:cs="Calibri" w:eastAsia="Calibri" w:hAnsi="Calibri"/>
          <w:color w:val="2D2D2D"/>
          <w:sz w:val="24"/>
          <w:szCs w:val="24"/>
        </w:rPr>
        <w:t xml:space="preserve">Ejecución según especificaciones técnicas y protocolos.</w:t>
      </w:r>
    </w:p>
    <w:p>
      <w:pPr>
        <w:pStyle w:val="ListParagraph"/>
        <w:numPr>
          <w:ilvl w:val="0"/>
          <w:numId w:val="2"/>
        </w:numPr>
        <w:spacing w:before="60" w:after="60"/>
      </w:pPr>
      <w:r>
        <w:rPr>
          <w:rFonts w:ascii="Calibri" w:cs="Calibri" w:eastAsia="Calibri" w:hAnsi="Calibri"/>
          <w:color w:val="2D2D2D"/>
          <w:sz w:val="24"/>
          <w:szCs w:val="24"/>
        </w:rPr>
        <w:t xml:space="preserve">Control de calidad durante el proceso (in-process).</w:t>
      </w:r>
    </w:p>
    <w:p>
      <w:pPr>
        <w:pStyle w:val="ListParagraph"/>
        <w:numPr>
          <w:ilvl w:val="0"/>
          <w:numId w:val="2"/>
        </w:numPr>
        <w:spacing w:before="60" w:after="60"/>
      </w:pPr>
      <w:r>
        <w:rPr>
          <w:rFonts w:ascii="Calibri" w:cs="Calibri" w:eastAsia="Calibri" w:hAnsi="Calibri"/>
          <w:color w:val="2D2D2D"/>
          <w:sz w:val="24"/>
          <w:szCs w:val="24"/>
        </w:rPr>
        <w:t xml:space="preserve">Gestión de no conformidades y correcciones.</w:t>
      </w:r>
    </w:p>
    <w:p>
      <w:pPr>
        <w:spacing w:before="60" w:after="60"/>
      </w:pPr>
    </w:p>
    <w:p>
      <w:pPr>
        <w:pStyle w:val="Heading3"/>
        <w:spacing w:before="200" w:after="80"/>
      </w:pPr>
      <w:r>
        <w:rPr>
          <w:rFonts w:ascii="Arial" w:cs="Arial" w:eastAsia="Arial" w:hAnsi="Arial"/>
          <w:b/>
          <w:bCs/>
          <w:color w:val="0099AA"/>
          <w:sz w:val="22"/>
          <w:szCs w:val="22"/>
        </w:rPr>
        <w:t xml:space="preserve">2.2.3 Ventas y Comercialización</w:t>
      </w:r>
    </w:p>
    <w:p>
      <w:pPr>
        <w:spacing w:before="80" w:after="100"/>
      </w:pPr>
      <w:r>
        <w:rPr>
          <w:rFonts w:ascii="Calibri" w:cs="Calibri" w:eastAsia="Calibri" w:hAnsi="Calibri"/>
          <w:color w:val="2D2D2D"/>
          <w:sz w:val="24"/>
          <w:szCs w:val="24"/>
        </w:rPr>
        <w:t xml:space="preserve">Proceso que gestiona la relación comercial con el cliente, desde el contacto inicial hasta el cierre de la venta.</w:t>
      </w:r>
    </w:p>
    <w:p>
      <w:pPr>
        <w:pStyle w:val="ListParagraph"/>
        <w:numPr>
          <w:ilvl w:val="0"/>
          <w:numId w:val="2"/>
        </w:numPr>
        <w:spacing w:before="60" w:after="60"/>
      </w:pPr>
      <w:r>
        <w:rPr>
          <w:rFonts w:ascii="Calibri" w:cs="Calibri" w:eastAsia="Calibri" w:hAnsi="Calibri"/>
          <w:color w:val="2D2D2D"/>
          <w:sz w:val="24"/>
          <w:szCs w:val="24"/>
        </w:rPr>
        <w:t xml:space="preserve">Identificación y cualificación de clientes potenciales.</w:t>
      </w:r>
    </w:p>
    <w:p>
      <w:pPr>
        <w:pStyle w:val="ListParagraph"/>
        <w:numPr>
          <w:ilvl w:val="0"/>
          <w:numId w:val="2"/>
        </w:numPr>
        <w:spacing w:before="60" w:after="60"/>
      </w:pPr>
      <w:r>
        <w:rPr>
          <w:rFonts w:ascii="Calibri" w:cs="Calibri" w:eastAsia="Calibri" w:hAnsi="Calibri"/>
          <w:color w:val="2D2D2D"/>
          <w:sz w:val="24"/>
          <w:szCs w:val="24"/>
        </w:rPr>
        <w:t xml:space="preserve">Elaboración y presentación de propuestas comerciales.</w:t>
      </w:r>
    </w:p>
    <w:p>
      <w:pPr>
        <w:pStyle w:val="ListParagraph"/>
        <w:numPr>
          <w:ilvl w:val="0"/>
          <w:numId w:val="2"/>
        </w:numPr>
        <w:spacing w:before="60" w:after="60"/>
      </w:pPr>
      <w:r>
        <w:rPr>
          <w:rFonts w:ascii="Calibri" w:cs="Calibri" w:eastAsia="Calibri" w:hAnsi="Calibri"/>
          <w:color w:val="2D2D2D"/>
          <w:sz w:val="24"/>
          <w:szCs w:val="24"/>
        </w:rPr>
        <w:t xml:space="preserve">Negociación y cierre de contratos o pedidos.</w:t>
      </w:r>
    </w:p>
    <w:p>
      <w:pPr>
        <w:pStyle w:val="ListParagraph"/>
        <w:numPr>
          <w:ilvl w:val="0"/>
          <w:numId w:val="2"/>
        </w:numPr>
        <w:spacing w:before="60" w:after="60"/>
      </w:pPr>
      <w:r>
        <w:rPr>
          <w:rFonts w:ascii="Calibri" w:cs="Calibri" w:eastAsia="Calibri" w:hAnsi="Calibri"/>
          <w:color w:val="2D2D2D"/>
          <w:sz w:val="24"/>
          <w:szCs w:val="24"/>
        </w:rPr>
        <w:t xml:space="preserve">Documentación y registro de las operaciones comerciales.</w:t>
      </w:r>
    </w:p>
    <w:p>
      <w:pPr>
        <w:spacing w:before="60" w:after="60"/>
      </w:pPr>
    </w:p>
    <w:p>
      <w:pPr>
        <w:pStyle w:val="Heading3"/>
        <w:spacing w:before="200" w:after="80"/>
      </w:pPr>
      <w:r>
        <w:rPr>
          <w:rFonts w:ascii="Arial" w:cs="Arial" w:eastAsia="Arial" w:hAnsi="Arial"/>
          <w:b/>
          <w:bCs/>
          <w:color w:val="0099AA"/>
          <w:sz w:val="22"/>
          <w:szCs w:val="22"/>
        </w:rPr>
        <w:t xml:space="preserve">2.2.4 Atención al Cliente</w:t>
      </w:r>
    </w:p>
    <w:p>
      <w:pPr>
        <w:spacing w:before="80" w:after="100"/>
      </w:pPr>
      <w:r>
        <w:rPr>
          <w:rFonts w:ascii="Calibri" w:cs="Calibri" w:eastAsia="Calibri" w:hAnsi="Calibri"/>
          <w:color w:val="2D2D2D"/>
          <w:sz w:val="24"/>
          <w:szCs w:val="24"/>
        </w:rPr>
        <w:t xml:space="preserve">Proceso que gestiona la experiencia post-venta y la satisfacción del cliente a lo largo del tiempo.</w:t>
      </w:r>
    </w:p>
    <w:p>
      <w:pPr>
        <w:pStyle w:val="ListParagraph"/>
        <w:numPr>
          <w:ilvl w:val="0"/>
          <w:numId w:val="2"/>
        </w:numPr>
        <w:spacing w:before="60" w:after="60"/>
      </w:pPr>
      <w:r>
        <w:rPr>
          <w:rFonts w:ascii="Calibri" w:cs="Calibri" w:eastAsia="Calibri" w:hAnsi="Calibri"/>
          <w:color w:val="2D2D2D"/>
          <w:sz w:val="24"/>
          <w:szCs w:val="24"/>
        </w:rPr>
        <w:t xml:space="preserve">Recepción y gestión de solicitudes de clientes.</w:t>
      </w:r>
    </w:p>
    <w:p>
      <w:pPr>
        <w:pStyle w:val="ListParagraph"/>
        <w:numPr>
          <w:ilvl w:val="0"/>
          <w:numId w:val="2"/>
        </w:numPr>
        <w:spacing w:before="60" w:after="60"/>
      </w:pPr>
      <w:r>
        <w:rPr>
          <w:rFonts w:ascii="Calibri" w:cs="Calibri" w:eastAsia="Calibri" w:hAnsi="Calibri"/>
          <w:color w:val="2D2D2D"/>
          <w:sz w:val="24"/>
          <w:szCs w:val="24"/>
        </w:rPr>
        <w:t xml:space="preserve">Resolución de quejas, reclamaciones e incidencias.</w:t>
      </w:r>
    </w:p>
    <w:p>
      <w:pPr>
        <w:pStyle w:val="ListParagraph"/>
        <w:numPr>
          <w:ilvl w:val="0"/>
          <w:numId w:val="2"/>
        </w:numPr>
        <w:spacing w:before="60" w:after="60"/>
      </w:pPr>
      <w:r>
        <w:rPr>
          <w:rFonts w:ascii="Calibri" w:cs="Calibri" w:eastAsia="Calibri" w:hAnsi="Calibri"/>
          <w:color w:val="2D2D2D"/>
          <w:sz w:val="24"/>
          <w:szCs w:val="24"/>
        </w:rPr>
        <w:t xml:space="preserve">Medición y seguimiento de la satisfacción del cliente.</w:t>
      </w:r>
    </w:p>
    <w:p>
      <w:pPr>
        <w:pStyle w:val="ListParagraph"/>
        <w:numPr>
          <w:ilvl w:val="0"/>
          <w:numId w:val="2"/>
        </w:numPr>
        <w:spacing w:before="60" w:after="60"/>
      </w:pPr>
      <w:r>
        <w:rPr>
          <w:rFonts w:ascii="Calibri" w:cs="Calibri" w:eastAsia="Calibri" w:hAnsi="Calibri"/>
          <w:color w:val="2D2D2D"/>
          <w:sz w:val="24"/>
          <w:szCs w:val="24"/>
        </w:rPr>
        <w:t xml:space="preserve">Fidelización y gestión de relaciones a largo plazo.</w:t>
      </w:r>
    </w:p>
    <w:p>
      <w:pPr>
        <w:spacing w:before="60" w:after="60"/>
      </w:pPr>
    </w:p>
    <w:p>
      <w:pPr>
        <w:pStyle w:val="Heading2"/>
        <w:spacing w:before="280" w:after="120"/>
      </w:pPr>
      <w:r>
        <w:rPr>
          <w:rFonts w:ascii="Arial" w:cs="Arial" w:eastAsia="Arial" w:hAnsi="Arial"/>
          <w:b/>
          <w:bCs/>
          <w:color w:val="7B2FBE"/>
          <w:sz w:val="26"/>
          <w:szCs w:val="26"/>
        </w:rPr>
        <w:t xml:space="preserve">2.3 Procesos de Apoyo (Soporte)</w:t>
      </w:r>
    </w:p>
    <w:p>
      <w:pPr>
        <w:spacing w:before="80" w:after="100"/>
      </w:pPr>
      <w:r>
        <w:rPr>
          <w:rFonts w:ascii="Calibri" w:cs="Calibri" w:eastAsia="Calibri" w:hAnsi="Calibri"/>
          <w:color w:val="2D2D2D"/>
          <w:sz w:val="24"/>
          <w:szCs w:val="24"/>
        </w:rPr>
        <w:t xml:space="preserve">Los procesos de apoyo son aquellos que proveen los recursos, infraestructura y servicios internos necesarios para que los procesos operativos funcionen correctamente. No generan valor directamente al cliente externo, pero son indispensables para la operación.</w:t>
      </w:r>
    </w:p>
    <w:p>
      <w:pPr>
        <w:spacing w:before="60" w:after="60"/>
      </w:pPr>
    </w:p>
    <w:p>
      <w:pPr>
        <w:spacing w:before="80" w:after="100"/>
      </w:pPr>
      <w:r>
        <w:rPr>
          <w:rFonts w:ascii="Calibri" w:cs="Calibri" w:eastAsia="Calibri" w:hAnsi="Calibri"/>
          <w:b/>
          <w:bCs/>
          <w:color w:val="2D2D2D"/>
          <w:sz w:val="24"/>
          <w:szCs w:val="24"/>
        </w:rPr>
        <w:t xml:space="preserve">Subprocesos típicos:</w:t>
      </w:r>
    </w:p>
    <w:p>
      <w:pPr>
        <w:pStyle w:val="ListParagraph"/>
        <w:numPr>
          <w:ilvl w:val="0"/>
          <w:numId w:val="2"/>
        </w:numPr>
        <w:spacing w:before="60" w:after="60"/>
      </w:pPr>
      <w:r>
        <w:rPr>
          <w:rFonts w:ascii="Calibri" w:cs="Calibri" w:eastAsia="Calibri" w:hAnsi="Calibri"/>
          <w:color w:val="2D2D2D"/>
          <w:sz w:val="24"/>
          <w:szCs w:val="24"/>
        </w:rPr>
        <w:t xml:space="preserve">Gestión de Recursos Humanos: selección, formación, evaluación y desarrollo del talento.</w:t>
      </w:r>
    </w:p>
    <w:p>
      <w:pPr>
        <w:pStyle w:val="ListParagraph"/>
        <w:numPr>
          <w:ilvl w:val="0"/>
          <w:numId w:val="2"/>
        </w:numPr>
        <w:spacing w:before="60" w:after="60"/>
      </w:pPr>
      <w:r>
        <w:rPr>
          <w:rFonts w:ascii="Calibri" w:cs="Calibri" w:eastAsia="Calibri" w:hAnsi="Calibri"/>
          <w:color w:val="2D2D2D"/>
          <w:sz w:val="24"/>
          <w:szCs w:val="24"/>
        </w:rPr>
        <w:t xml:space="preserve">Gestión Financiera y Contabilidad: control presupuestario, facturación y tesorería.</w:t>
      </w:r>
    </w:p>
    <w:p>
      <w:pPr>
        <w:pStyle w:val="ListParagraph"/>
        <w:numPr>
          <w:ilvl w:val="0"/>
          <w:numId w:val="2"/>
        </w:numPr>
        <w:spacing w:before="60" w:after="60"/>
      </w:pPr>
      <w:r>
        <w:rPr>
          <w:rFonts w:ascii="Calibri" w:cs="Calibri" w:eastAsia="Calibri" w:hAnsi="Calibri"/>
          <w:color w:val="2D2D2D"/>
          <w:sz w:val="24"/>
          <w:szCs w:val="24"/>
        </w:rPr>
        <w:t xml:space="preserve">Tecnología e Informática: infraestructura tecnológica, sistemas de información y soporte.</w:t>
      </w:r>
    </w:p>
    <w:p>
      <w:pPr>
        <w:pStyle w:val="ListParagraph"/>
        <w:numPr>
          <w:ilvl w:val="0"/>
          <w:numId w:val="2"/>
        </w:numPr>
        <w:spacing w:before="60" w:after="60"/>
      </w:pPr>
      <w:r>
        <w:rPr>
          <w:rFonts w:ascii="Calibri" w:cs="Calibri" w:eastAsia="Calibri" w:hAnsi="Calibri"/>
          <w:color w:val="2D2D2D"/>
          <w:sz w:val="24"/>
          <w:szCs w:val="24"/>
        </w:rPr>
        <w:t xml:space="preserve">Mantenimiento: gestión del mantenimiento preventivo y correctivo de equipos e instalaciones.</w:t>
      </w:r>
    </w:p>
    <w:p>
      <w:pPr>
        <w:pStyle w:val="ListParagraph"/>
        <w:numPr>
          <w:ilvl w:val="0"/>
          <w:numId w:val="2"/>
        </w:numPr>
        <w:spacing w:before="60" w:after="60"/>
      </w:pPr>
      <w:r>
        <w:rPr>
          <w:rFonts w:ascii="Calibri" w:cs="Calibri" w:eastAsia="Calibri" w:hAnsi="Calibri"/>
          <w:color w:val="2D2D2D"/>
          <w:sz w:val="24"/>
          <w:szCs w:val="24"/>
        </w:rPr>
        <w:t xml:space="preserve">Compras y Aprovisionamiento: selección de proveedores, gestión de pedidos e inventarios.</w:t>
      </w:r>
    </w:p>
    <w:p>
      <w:pPr>
        <w:pStyle w:val="ListParagraph"/>
        <w:numPr>
          <w:ilvl w:val="0"/>
          <w:numId w:val="2"/>
        </w:numPr>
        <w:spacing w:before="60" w:after="60"/>
      </w:pPr>
      <w:r>
        <w:rPr>
          <w:rFonts w:ascii="Calibri" w:cs="Calibri" w:eastAsia="Calibri" w:hAnsi="Calibri"/>
          <w:color w:val="2D2D2D"/>
          <w:sz w:val="24"/>
          <w:szCs w:val="24"/>
        </w:rPr>
        <w:t xml:space="preserve">Gestión Legal y Compliance: asesoramiento jurídico y cumplimiento normativo.</w:t>
      </w:r>
    </w:p>
    <w:p>
      <w:r>
        <w:br w:type="page"/>
      </w:r>
    </w:p>
    <w:p>
      <w:pPr>
        <w:pStyle w:val="Heading1"/>
        <w:spacing w:before="360" w:after="180"/>
      </w:pPr>
      <w:r>
        <w:rPr>
          <w:rFonts w:ascii="Arial" w:cs="Arial" w:eastAsia="Arial" w:hAnsi="Arial"/>
          <w:b/>
          <w:bCs/>
          <w:color w:val="1A1A2E"/>
          <w:sz w:val="32"/>
          <w:szCs w:val="32"/>
        </w:rPr>
        <w:t xml:space="preserve">3. Interacciones entre Niveles</w:t>
      </w:r>
    </w:p>
    <w:p>
      <w:pPr>
        <w:pBdr>
          <w:bottom w:val="single" w:color="7B2FBE" w:sz="4" w:space="1"/>
        </w:pBdr>
        <w:spacing w:before="180" w:after="180"/>
      </w:pPr>
    </w:p>
    <w:p>
      <w:pPr>
        <w:spacing w:before="80" w:after="100"/>
      </w:pPr>
      <w:r>
        <w:rPr>
          <w:rFonts w:ascii="Calibri" w:cs="Calibri" w:eastAsia="Calibri" w:hAnsi="Calibri"/>
          <w:color w:val="2D2D2D"/>
          <w:sz w:val="24"/>
          <w:szCs w:val="24"/>
        </w:rPr>
        <w:t xml:space="preserve">Uno de los aspectos más importantes del Mapa de Procesos es la comprensión de cómo los tres niveles se interrelacionan. Estas relaciones no son unidireccionales; existe un flujo bidireccional de información, recursos y retroalimentación entre los niveles.</w:t>
      </w:r>
    </w:p>
    <w:p>
      <w:pPr>
        <w:spacing w:before="60" w:after="60"/>
      </w:pPr>
    </w:p>
    <w:p>
      <w:pPr>
        <w:pStyle w:val="Heading2"/>
        <w:spacing w:before="280" w:after="120"/>
      </w:pPr>
      <w:r>
        <w:rPr>
          <w:rFonts w:ascii="Arial" w:cs="Arial" w:eastAsia="Arial" w:hAnsi="Arial"/>
          <w:b/>
          <w:bCs/>
          <w:color w:val="7B2FBE"/>
          <w:sz w:val="26"/>
          <w:szCs w:val="26"/>
        </w:rPr>
        <w:t xml:space="preserve">3.1 Flujo descendente: de Estratégicos a Operativos</w:t>
      </w:r>
    </w:p>
    <w:p>
      <w:pPr>
        <w:spacing w:before="80" w:after="100"/>
      </w:pPr>
      <w:r>
        <w:rPr>
          <w:rFonts w:ascii="Calibri" w:cs="Calibri" w:eastAsia="Calibri" w:hAnsi="Calibri"/>
          <w:color w:val="2D2D2D"/>
          <w:sz w:val="24"/>
          <w:szCs w:val="24"/>
        </w:rPr>
        <w:t xml:space="preserve">Los procesos estratégicos orientan a los operativos mediante la definición de objetivos, políticas, estándares y directrices. Por ejemplo: una política de calidad emitida en el nivel estratégico condiciona cómo se ejecuta el control de calidad en el nivel operativo.</w:t>
      </w:r>
    </w:p>
    <w:p>
      <w:pPr>
        <w:spacing w:before="60" w:after="60"/>
      </w:pPr>
    </w:p>
    <w:p>
      <w:pPr>
        <w:pStyle w:val="Heading2"/>
        <w:spacing w:before="280" w:after="120"/>
      </w:pPr>
      <w:r>
        <w:rPr>
          <w:rFonts w:ascii="Arial" w:cs="Arial" w:eastAsia="Arial" w:hAnsi="Arial"/>
          <w:b/>
          <w:bCs/>
          <w:color w:val="7B2FBE"/>
          <w:sz w:val="26"/>
          <w:szCs w:val="26"/>
        </w:rPr>
        <w:t xml:space="preserve">3.2 Flujo ascendente: de Operativos a Estratégicos</w:t>
      </w:r>
    </w:p>
    <w:p>
      <w:pPr>
        <w:spacing w:before="80" w:after="100"/>
      </w:pPr>
      <w:r>
        <w:rPr>
          <w:rFonts w:ascii="Calibri" w:cs="Calibri" w:eastAsia="Calibri" w:hAnsi="Calibri"/>
          <w:color w:val="2D2D2D"/>
          <w:sz w:val="24"/>
          <w:szCs w:val="24"/>
        </w:rPr>
        <w:t xml:space="preserve">Los procesos operativos retroalimentan a los estratégicos con datos de desempeño, resultados de satisfacción del cliente, indicadores de producción y alertas sobre problemas recurrentes. Esta información permite a la dirección ajustar la estrategia en función de la realidad operativa.</w:t>
      </w:r>
    </w:p>
    <w:p>
      <w:pPr>
        <w:spacing w:before="60" w:after="60"/>
      </w:pPr>
    </w:p>
    <w:p>
      <w:pPr>
        <w:pStyle w:val="Heading2"/>
        <w:spacing w:before="280" w:after="120"/>
      </w:pPr>
      <w:r>
        <w:rPr>
          <w:rFonts w:ascii="Arial" w:cs="Arial" w:eastAsia="Arial" w:hAnsi="Arial"/>
          <w:b/>
          <w:bCs/>
          <w:color w:val="7B2FBE"/>
          <w:sz w:val="26"/>
          <w:szCs w:val="26"/>
        </w:rPr>
        <w:t xml:space="preserve">3.3 Flujo de Apoyo: bidireccional con Operativos</w:t>
      </w:r>
    </w:p>
    <w:p>
      <w:pPr>
        <w:spacing w:before="80" w:after="100"/>
      </w:pPr>
      <w:r>
        <w:rPr>
          <w:rFonts w:ascii="Calibri" w:cs="Calibri" w:eastAsia="Calibri" w:hAnsi="Calibri"/>
          <w:color w:val="2D2D2D"/>
          <w:sz w:val="24"/>
          <w:szCs w:val="24"/>
        </w:rPr>
        <w:t xml:space="preserve">Los procesos de apoyo proveen recursos a los operativos (personal capacitado, sistemas funcionando, equipos mantenidos), y los operativos reportan sus necesidades y consumos a los procesos de apoyo para que estos planifiquen sus actividades adecuadamente.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FBE" w:sz="6"/>
              <w:left w:val="single" w:color="7B2FBE" w:sz="12"/>
              <w:bottom w:val="single" w:color="DDDDEE" w:sz="1"/>
              <w:right w:val="single" w:color="DDDDEE" w:sz="1"/>
            </w:tcBorders>
            <w:shd w:fill="F5F3FF" w:val="clear"/>
            <w:tcMar>
              <w:top w:type="dxa" w:w="100"/>
              <w:left w:type="dxa" w:w="180"/>
              <w:bottom w:type="dxa" w:w="100"/>
              <w:right w:type="dxa" w:w="120"/>
            </w:tcMar>
          </w:tcPr>
          <w:p>
            <w:r>
              <w:rPr>
                <w:rFonts w:ascii="Arial" w:cs="Arial" w:eastAsia="Arial" w:hAnsi="Arial"/>
                <w:b/>
                <w:bCs/>
                <w:color w:val="7B2FBE"/>
                <w:sz w:val="24"/>
                <w:szCs w:val="24"/>
              </w:rPr>
              <w:t xml:space="preserve">CONCEPTO CLAVE: Sistema de procesos</w:t>
            </w:r>
          </w:p>
          <w:p>
            <w:pPr>
              <w:spacing w:before="40" w:after="40"/>
            </w:pPr>
            <w:r>
              <w:rPr>
                <w:rFonts w:ascii="Calibri" w:cs="Calibri" w:eastAsia="Calibri" w:hAnsi="Calibri"/>
                <w:color w:val="333333"/>
                <w:sz w:val="22"/>
                <w:szCs w:val="22"/>
              </w:rPr>
              <w:t xml:space="preserve">El Mapa de Procesos no es una colección de procesos independientes, sino un SISTEMA donde cada elemento está conectado con los demás. Una mejora en un proceso de apoyo (ej. mejora en la capacitación de personal) tiene un efecto positivo en los procesos operativos (mayor calidad de producción), lo que a su vez mejora la satisfacción del cliente (retroalimentación positiva al nivel estratégico).</w:t>
            </w:r>
          </w:p>
        </w:tc>
      </w:tr>
    </w:tbl>
    <w:p>
      <w:r>
        <w:br w:type="page"/>
      </w:r>
    </w:p>
    <w:p>
      <w:pPr>
        <w:pStyle w:val="Heading1"/>
        <w:spacing w:before="360" w:after="180"/>
      </w:pPr>
      <w:r>
        <w:rPr>
          <w:rFonts w:ascii="Arial" w:cs="Arial" w:eastAsia="Arial" w:hAnsi="Arial"/>
          <w:b/>
          <w:bCs/>
          <w:color w:val="1A1A2E"/>
          <w:sz w:val="32"/>
          <w:szCs w:val="32"/>
        </w:rPr>
        <w:t xml:space="preserve">4. Mejora Continua: El Motor del Sistema</w:t>
      </w:r>
    </w:p>
    <w:p>
      <w:pPr>
        <w:pBdr>
          <w:bottom w:val="single" w:color="7B2FBE" w:sz="4" w:space="1"/>
        </w:pBdr>
        <w:spacing w:before="180" w:after="180"/>
      </w:pPr>
    </w:p>
    <w:p>
      <w:pPr>
        <w:spacing w:before="80" w:after="100"/>
      </w:pPr>
      <w:r>
        <w:rPr>
          <w:rFonts w:ascii="Calibri" w:cs="Calibri" w:eastAsia="Calibri" w:hAnsi="Calibri"/>
          <w:color w:val="2D2D2D"/>
          <w:sz w:val="24"/>
          <w:szCs w:val="24"/>
        </w:rPr>
        <w:t xml:space="preserve">Un Mapa de Procesos no es un documento estático que se elabora una vez y se archiva. Es una herramienta viva que debe revisarse, actualizarse y mejorarse de forma continua. El motor de esta mejora continua es el ciclo PHVA (Planear–Hacer–Verificar–Actuar), también conocido como ciclo de Deming o ciclo de Shewhart.</w:t>
      </w:r>
    </w:p>
    <w:p>
      <w:pPr>
        <w:spacing w:before="60" w:after="60"/>
      </w:pPr>
    </w:p>
    <w:p>
      <w:pPr>
        <w:pStyle w:val="Heading2"/>
        <w:spacing w:before="280" w:after="120"/>
      </w:pPr>
      <w:r>
        <w:rPr>
          <w:rFonts w:ascii="Arial" w:cs="Arial" w:eastAsia="Arial" w:hAnsi="Arial"/>
          <w:b/>
          <w:bCs/>
          <w:color w:val="7B2FBE"/>
          <w:sz w:val="26"/>
          <w:szCs w:val="26"/>
        </w:rPr>
        <w:t xml:space="preserve">4.1 El Ciclo PHVA aplicado al Mapa de Procesos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5520"/>
      </w:tblGrid>
      <w:tr>
        <w:tc>
          <w:tcPr>
            <w:tcW w:type="dxa" w:w="1440"/>
            <w:tcBorders>
              <w:top w:val="single" w:color="DDDDEE" w:sz="1"/>
              <w:left w:val="single" w:color="DDDDEE" w:sz="1"/>
              <w:bottom w:val="single" w:color="DDDDEE" w:sz="1"/>
              <w:right w:val="single" w:color="DDDDEE" w:sz="1"/>
            </w:tcBorders>
            <w:shd w:fill="7B2FBE" w:val="clear"/>
            <w:tcMar>
              <w:top w:type="dxa" w:w="80"/>
              <w:left w:type="dxa" w:w="120"/>
              <w:bottom w:type="dxa" w:w="80"/>
              <w:right w:type="dxa" w:w="120"/>
            </w:tcMar>
            <w:vAlign w:val="center"/>
          </w:tcPr>
          <w:p>
            <w:pPr>
              <w:jc w:val="center"/>
            </w:pPr>
            <w:r>
              <w:rPr>
                <w:rFonts w:ascii="Arial Black" w:cs="Arial Black" w:eastAsia="Arial Black" w:hAnsi="Arial Black"/>
                <w:b/>
                <w:bCs/>
                <w:color w:val="FFFFFF"/>
                <w:sz w:val="36"/>
                <w:szCs w:val="36"/>
              </w:rPr>
              <w:t xml:space="preserve">P</w:t>
            </w:r>
          </w:p>
        </w:tc>
        <w:tc>
          <w:tcPr>
            <w:tcW w:type="dxa" w:w="2400"/>
            <w:tcBorders>
              <w:top w:val="single" w:color="DDDDEE" w:sz="1"/>
              <w:left w:val="single" w:color="DDDDEE" w:sz="1"/>
              <w:bottom w:val="single" w:color="DDDDEE" w:sz="1"/>
              <w:right w:val="single" w:color="DDDDEE" w:sz="1"/>
            </w:tcBorders>
            <w:shd w:fill="EDE9F9" w:val="clear"/>
            <w:tcMar>
              <w:top w:type="dxa" w:w="80"/>
              <w:left w:type="dxa" w:w="120"/>
              <w:bottom w:type="dxa" w:w="80"/>
              <w:right w:type="dxa" w:w="120"/>
            </w:tcMar>
          </w:tcPr>
          <w:p>
            <w:r>
              <w:rPr>
                <w:rFonts w:ascii="Arial" w:cs="Arial" w:eastAsia="Arial" w:hAnsi="Arial"/>
                <w:b/>
                <w:bCs/>
                <w:color w:val="7B2FBE"/>
                <w:sz w:val="24"/>
                <w:szCs w:val="24"/>
              </w:rPr>
              <w:t xml:space="preserve">PLANEAR</w:t>
            </w:r>
          </w:p>
        </w:tc>
        <w:tc>
          <w:tcPr>
            <w:tcW w:type="dxa" w:w="5520"/>
            <w:tcBorders>
              <w:top w:val="single" w:color="DDDDEE" w:sz="1"/>
              <w:left w:val="single" w:color="DDDDEE" w:sz="1"/>
              <w:bottom w:val="single" w:color="DDDDEE" w:sz="1"/>
              <w:right w:val="single" w:color="DDDDEE" w:sz="1"/>
            </w:tcBorders>
            <w:shd w:fill="FAFAFA" w:val="clear"/>
            <w:tcMar>
              <w:top w:type="dxa" w:w="80"/>
              <w:left w:type="dxa" w:w="120"/>
              <w:bottom w:type="dxa" w:w="80"/>
              <w:right w:type="dxa" w:w="120"/>
            </w:tcMar>
          </w:tcPr>
          <w:p>
            <w:r>
              <w:rPr>
                <w:rFonts w:ascii="Calibri" w:cs="Calibri" w:eastAsia="Calibri" w:hAnsi="Calibri"/>
                <w:sz w:val="22"/>
                <w:szCs w:val="22"/>
              </w:rPr>
              <w:t xml:space="preserve">Identificar oportunidades de mejora en los procesos. Definir objetivos, indicadores y acciones de mejora. Diseñar el nuevo estado del proceso mejorado.</w:t>
            </w:r>
          </w:p>
        </w:tc>
      </w:tr>
      <w:tr>
        <w:tc>
          <w:tcPr>
            <w:tcW w:type="dxa" w:w="1440"/>
            <w:tcBorders>
              <w:top w:val="single" w:color="DDDDEE" w:sz="1"/>
              <w:left w:val="single" w:color="DDDDEE" w:sz="1"/>
              <w:bottom w:val="single" w:color="DDDDEE" w:sz="1"/>
              <w:right w:val="single" w:color="DDDDEE" w:sz="1"/>
            </w:tcBorders>
            <w:shd w:fill="0099AA" w:val="clear"/>
            <w:tcMar>
              <w:top w:type="dxa" w:w="80"/>
              <w:left w:type="dxa" w:w="120"/>
              <w:bottom w:type="dxa" w:w="80"/>
              <w:right w:type="dxa" w:w="120"/>
            </w:tcMar>
            <w:vAlign w:val="center"/>
          </w:tcPr>
          <w:p>
            <w:pPr>
              <w:jc w:val="center"/>
            </w:pPr>
            <w:r>
              <w:rPr>
                <w:rFonts w:ascii="Arial Black" w:cs="Arial Black" w:eastAsia="Arial Black" w:hAnsi="Arial Black"/>
                <w:b/>
                <w:bCs/>
                <w:color w:val="FFFFFF"/>
                <w:sz w:val="36"/>
                <w:szCs w:val="36"/>
              </w:rPr>
              <w:t xml:space="preserve">H</w:t>
            </w:r>
          </w:p>
        </w:tc>
        <w:tc>
          <w:tcPr>
            <w:tcW w:type="dxa" w:w="2400"/>
            <w:tcBorders>
              <w:top w:val="single" w:color="DDDDEE" w:sz="1"/>
              <w:left w:val="single" w:color="DDDDEE" w:sz="1"/>
              <w:bottom w:val="single" w:color="DDDDEE" w:sz="1"/>
              <w:right w:val="single" w:color="DDDDEE" w:sz="1"/>
            </w:tcBorders>
            <w:shd w:fill="E6F5F7" w:val="clear"/>
            <w:tcMar>
              <w:top w:type="dxa" w:w="80"/>
              <w:left w:type="dxa" w:w="120"/>
              <w:bottom w:type="dxa" w:w="80"/>
              <w:right w:type="dxa" w:w="120"/>
            </w:tcMar>
          </w:tcPr>
          <w:p>
            <w:r>
              <w:rPr>
                <w:rFonts w:ascii="Arial" w:cs="Arial" w:eastAsia="Arial" w:hAnsi="Arial"/>
                <w:b/>
                <w:bCs/>
                <w:color w:val="0099AA"/>
                <w:sz w:val="24"/>
                <w:szCs w:val="24"/>
              </w:rPr>
              <w:t xml:space="preserve">HACER</w:t>
            </w:r>
          </w:p>
        </w:tc>
        <w:tc>
          <w:tcPr>
            <w:tcW w:type="dxa" w:w="5520"/>
            <w:tcBorders>
              <w:top w:val="single" w:color="DDDDEE" w:sz="1"/>
              <w:left w:val="single" w:color="DDDDEE" w:sz="1"/>
              <w:bottom w:val="single" w:color="DDDDEE" w:sz="1"/>
              <w:right w:val="single" w:color="DDDDEE" w:sz="1"/>
            </w:tcBorders>
            <w:shd w:fill="FAFAFA" w:val="clear"/>
            <w:tcMar>
              <w:top w:type="dxa" w:w="80"/>
              <w:left w:type="dxa" w:w="120"/>
              <w:bottom w:type="dxa" w:w="80"/>
              <w:right w:type="dxa" w:w="120"/>
            </w:tcMar>
          </w:tcPr>
          <w:p>
            <w:r>
              <w:rPr>
                <w:rFonts w:ascii="Calibri" w:cs="Calibri" w:eastAsia="Calibri" w:hAnsi="Calibri"/>
                <w:sz w:val="22"/>
                <w:szCs w:val="22"/>
              </w:rPr>
              <w:t xml:space="preserve">Implementar las mejoras planificadas, inicialmente a pequeña escala (prueba piloto). Capacitar al personal involucrado. Documentar los cambios realizados en el proceso.</w:t>
            </w:r>
          </w:p>
        </w:tc>
      </w:tr>
      <w:tr>
        <w:tc>
          <w:tcPr>
            <w:tcW w:type="dxa" w:w="1440"/>
            <w:tcBorders>
              <w:top w:val="single" w:color="DDDDEE" w:sz="1"/>
              <w:left w:val="single" w:color="DDDDEE" w:sz="1"/>
              <w:bottom w:val="single" w:color="DDDDEE" w:sz="1"/>
              <w:right w:val="single" w:color="DDDDEE" w:sz="1"/>
            </w:tcBorders>
            <w:shd w:fill="CC3366" w:val="clear"/>
            <w:tcMar>
              <w:top w:type="dxa" w:w="80"/>
              <w:left w:type="dxa" w:w="120"/>
              <w:bottom w:type="dxa" w:w="80"/>
              <w:right w:type="dxa" w:w="120"/>
            </w:tcMar>
            <w:vAlign w:val="center"/>
          </w:tcPr>
          <w:p>
            <w:pPr>
              <w:jc w:val="center"/>
            </w:pPr>
            <w:r>
              <w:rPr>
                <w:rFonts w:ascii="Arial Black" w:cs="Arial Black" w:eastAsia="Arial Black" w:hAnsi="Arial Black"/>
                <w:b/>
                <w:bCs/>
                <w:color w:val="FFFFFF"/>
                <w:sz w:val="36"/>
                <w:szCs w:val="36"/>
              </w:rPr>
              <w:t xml:space="preserve">V</w:t>
            </w:r>
          </w:p>
        </w:tc>
        <w:tc>
          <w:tcPr>
            <w:tcW w:type="dxa" w:w="2400"/>
            <w:tcBorders>
              <w:top w:val="single" w:color="DDDDEE" w:sz="1"/>
              <w:left w:val="single" w:color="DDDDEE" w:sz="1"/>
              <w:bottom w:val="single" w:color="DDDDEE" w:sz="1"/>
              <w:right w:val="single" w:color="DDDDEE" w:sz="1"/>
            </w:tcBorders>
            <w:shd w:fill="FAEEF4" w:val="clear"/>
            <w:tcMar>
              <w:top w:type="dxa" w:w="80"/>
              <w:left w:type="dxa" w:w="120"/>
              <w:bottom w:type="dxa" w:w="80"/>
              <w:right w:type="dxa" w:w="120"/>
            </w:tcMar>
          </w:tcPr>
          <w:p>
            <w:r>
              <w:rPr>
                <w:rFonts w:ascii="Arial" w:cs="Arial" w:eastAsia="Arial" w:hAnsi="Arial"/>
                <w:b/>
                <w:bCs/>
                <w:color w:val="CC3366"/>
                <w:sz w:val="24"/>
                <w:szCs w:val="24"/>
              </w:rPr>
              <w:t xml:space="preserve">VERIFICAR</w:t>
            </w:r>
          </w:p>
        </w:tc>
        <w:tc>
          <w:tcPr>
            <w:tcW w:type="dxa" w:w="5520"/>
            <w:tcBorders>
              <w:top w:val="single" w:color="DDDDEE" w:sz="1"/>
              <w:left w:val="single" w:color="DDDDEE" w:sz="1"/>
              <w:bottom w:val="single" w:color="DDDDEE" w:sz="1"/>
              <w:right w:val="single" w:color="DDDDEE" w:sz="1"/>
            </w:tcBorders>
            <w:shd w:fill="FAFAFA" w:val="clear"/>
            <w:tcMar>
              <w:top w:type="dxa" w:w="80"/>
              <w:left w:type="dxa" w:w="120"/>
              <w:bottom w:type="dxa" w:w="80"/>
              <w:right w:type="dxa" w:w="120"/>
            </w:tcMar>
          </w:tcPr>
          <w:p>
            <w:r>
              <w:rPr>
                <w:rFonts w:ascii="Calibri" w:cs="Calibri" w:eastAsia="Calibri" w:hAnsi="Calibri"/>
                <w:sz w:val="22"/>
                <w:szCs w:val="22"/>
              </w:rPr>
              <w:t xml:space="preserve">Medir los resultados obtenidos y compararlos con los objetivos definidos en la etapa Planear. Analizar las desviaciones. Identificar causas de éxito o fracaso.</w:t>
            </w:r>
          </w:p>
        </w:tc>
      </w:tr>
      <w:tr>
        <w:tc>
          <w:tcPr>
            <w:tcW w:type="dxa" w:w="1440"/>
            <w:tcBorders>
              <w:top w:val="single" w:color="DDDDEE" w:sz="1"/>
              <w:left w:val="single" w:color="DDDDEE" w:sz="1"/>
              <w:bottom w:val="single" w:color="DDDDEE" w:sz="1"/>
              <w:right w:val="single" w:color="DDDDEE" w:sz="1"/>
            </w:tcBorders>
            <w:shd w:fill="BB8800" w:val="clear"/>
            <w:tcMar>
              <w:top w:type="dxa" w:w="80"/>
              <w:left w:type="dxa" w:w="120"/>
              <w:bottom w:type="dxa" w:w="80"/>
              <w:right w:type="dxa" w:w="120"/>
            </w:tcMar>
            <w:vAlign w:val="center"/>
          </w:tcPr>
          <w:p>
            <w:pPr>
              <w:jc w:val="center"/>
            </w:pPr>
            <w:r>
              <w:rPr>
                <w:rFonts w:ascii="Arial Black" w:cs="Arial Black" w:eastAsia="Arial Black" w:hAnsi="Arial Black"/>
                <w:b/>
                <w:bCs/>
                <w:color w:val="FFFFFF"/>
                <w:sz w:val="36"/>
                <w:szCs w:val="36"/>
              </w:rPr>
              <w:t xml:space="preserve">A</w:t>
            </w:r>
          </w:p>
        </w:tc>
        <w:tc>
          <w:tcPr>
            <w:tcW w:type="dxa" w:w="2400"/>
            <w:tcBorders>
              <w:top w:val="single" w:color="DDDDEE" w:sz="1"/>
              <w:left w:val="single" w:color="DDDDEE" w:sz="1"/>
              <w:bottom w:val="single" w:color="DDDDEE" w:sz="1"/>
              <w:right w:val="single" w:color="DDDDEE" w:sz="1"/>
            </w:tcBorders>
            <w:shd w:fill="FDF8E8" w:val="clear"/>
            <w:tcMar>
              <w:top w:type="dxa" w:w="80"/>
              <w:left w:type="dxa" w:w="120"/>
              <w:bottom w:type="dxa" w:w="80"/>
              <w:right w:type="dxa" w:w="120"/>
            </w:tcMar>
          </w:tcPr>
          <w:p>
            <w:r>
              <w:rPr>
                <w:rFonts w:ascii="Arial" w:cs="Arial" w:eastAsia="Arial" w:hAnsi="Arial"/>
                <w:b/>
                <w:bCs/>
                <w:color w:val="BB8800"/>
                <w:sz w:val="24"/>
                <w:szCs w:val="24"/>
              </w:rPr>
              <w:t xml:space="preserve">ACTUAR</w:t>
            </w:r>
          </w:p>
        </w:tc>
        <w:tc>
          <w:tcPr>
            <w:tcW w:type="dxa" w:w="5520"/>
            <w:tcBorders>
              <w:top w:val="single" w:color="DDDDEE" w:sz="1"/>
              <w:left w:val="single" w:color="DDDDEE" w:sz="1"/>
              <w:bottom w:val="single" w:color="DDDDEE" w:sz="1"/>
              <w:right w:val="single" w:color="DDDDEE" w:sz="1"/>
            </w:tcBorders>
            <w:shd w:fill="FAFAFA" w:val="clear"/>
            <w:tcMar>
              <w:top w:type="dxa" w:w="80"/>
              <w:left w:type="dxa" w:w="120"/>
              <w:bottom w:type="dxa" w:w="80"/>
              <w:right w:type="dxa" w:w="120"/>
            </w:tcMar>
          </w:tcPr>
          <w:p>
            <w:r>
              <w:rPr>
                <w:rFonts w:ascii="Calibri" w:cs="Calibri" w:eastAsia="Calibri" w:hAnsi="Calibri"/>
                <w:sz w:val="22"/>
                <w:szCs w:val="22"/>
              </w:rPr>
              <w:t xml:space="preserve">Si la mejora fue exitosa: estandarizar el nuevo proceso y desplegarlo a toda la organización. Si no fue exitosa: volver a la etapa Planear con los aprendizajes obtenidos.</w:t>
            </w:r>
          </w:p>
        </w:tc>
      </w:tr>
    </w:tbl>
    <w:p>
      <w:pPr>
        <w:spacing w:before="60" w:after="60"/>
      </w:pPr>
    </w:p>
    <w:p>
      <w:pPr>
        <w:spacing w:before="60" w:after="60"/>
      </w:pPr>
    </w:p>
    <w:p>
      <w:pPr>
        <w:pStyle w:val="Heading2"/>
        <w:spacing w:before="280" w:after="120"/>
      </w:pPr>
      <w:r>
        <w:rPr>
          <w:rFonts w:ascii="Arial" w:cs="Arial" w:eastAsia="Arial" w:hAnsi="Arial"/>
          <w:b/>
          <w:bCs/>
          <w:color w:val="7B2FBE"/>
          <w:sz w:val="26"/>
          <w:szCs w:val="26"/>
        </w:rPr>
        <w:t xml:space="preserve">4.2 Beneficios del Mapa de Procesos como herramienta de gestión</w:t>
      </w:r>
    </w:p>
    <w:p>
      <w:pPr>
        <w:pStyle w:val="ListParagraph"/>
        <w:numPr>
          <w:ilvl w:val="0"/>
          <w:numId w:val="2"/>
        </w:numPr>
        <w:spacing w:before="60" w:after="60"/>
      </w:pPr>
      <w:r>
        <w:rPr>
          <w:rFonts w:ascii="Calibri" w:cs="Calibri" w:eastAsia="Calibri" w:hAnsi="Calibri"/>
          <w:color w:val="2D2D2D"/>
          <w:sz w:val="24"/>
          <w:szCs w:val="24"/>
        </w:rPr>
        <w:t xml:space="preserve">Visibilidad total: permite a toda la organización entender cómo funciona el sistema y cuál es su rol dentro de él.</w:t>
      </w:r>
    </w:p>
    <w:p>
      <w:pPr>
        <w:pStyle w:val="ListParagraph"/>
        <w:numPr>
          <w:ilvl w:val="0"/>
          <w:numId w:val="2"/>
        </w:numPr>
        <w:spacing w:before="60" w:after="60"/>
      </w:pPr>
      <w:r>
        <w:rPr>
          <w:rFonts w:ascii="Calibri" w:cs="Calibri" w:eastAsia="Calibri" w:hAnsi="Calibri"/>
          <w:color w:val="2D2D2D"/>
          <w:sz w:val="24"/>
          <w:szCs w:val="24"/>
        </w:rPr>
        <w:t xml:space="preserve">Control de calidad: facilita la identificación de puntos críticos donde pueden surgir fallos o ineficiencias.</w:t>
      </w:r>
    </w:p>
    <w:p>
      <w:pPr>
        <w:pStyle w:val="ListParagraph"/>
        <w:numPr>
          <w:ilvl w:val="0"/>
          <w:numId w:val="2"/>
        </w:numPr>
        <w:spacing w:before="60" w:after="60"/>
      </w:pPr>
      <w:r>
        <w:rPr>
          <w:rFonts w:ascii="Calibri" w:cs="Calibri" w:eastAsia="Calibri" w:hAnsi="Calibri"/>
          <w:color w:val="2D2D2D"/>
          <w:sz w:val="24"/>
          <w:szCs w:val="24"/>
        </w:rPr>
        <w:t xml:space="preserve">Alineación estratégica: garantiza que todos los procesos estén orientados hacia los mismos objetivos organizacionales.</w:t>
      </w:r>
    </w:p>
    <w:p>
      <w:pPr>
        <w:pStyle w:val="ListParagraph"/>
        <w:numPr>
          <w:ilvl w:val="0"/>
          <w:numId w:val="2"/>
        </w:numPr>
        <w:spacing w:before="60" w:after="60"/>
      </w:pPr>
      <w:r>
        <w:rPr>
          <w:rFonts w:ascii="Calibri" w:cs="Calibri" w:eastAsia="Calibri" w:hAnsi="Calibri"/>
          <w:color w:val="2D2D2D"/>
          <w:sz w:val="24"/>
          <w:szCs w:val="24"/>
        </w:rPr>
        <w:t xml:space="preserve">Comunicación: sirve como lenguaje común entre áreas, facilitando la colaboración interdepartamental.</w:t>
      </w:r>
    </w:p>
    <w:p>
      <w:pPr>
        <w:pStyle w:val="ListParagraph"/>
        <w:numPr>
          <w:ilvl w:val="0"/>
          <w:numId w:val="2"/>
        </w:numPr>
        <w:spacing w:before="60" w:after="60"/>
      </w:pPr>
      <w:r>
        <w:rPr>
          <w:rFonts w:ascii="Calibri" w:cs="Calibri" w:eastAsia="Calibri" w:hAnsi="Calibri"/>
          <w:color w:val="2D2D2D"/>
          <w:sz w:val="24"/>
          <w:szCs w:val="24"/>
        </w:rPr>
        <w:t xml:space="preserve">Base para la certificación: es un requisito fundamental en sistemas de gestión como la norma ISO 9001:2015.</w:t>
      </w:r>
    </w:p>
    <w:p>
      <w:pPr>
        <w:pStyle w:val="ListParagraph"/>
        <w:numPr>
          <w:ilvl w:val="0"/>
          <w:numId w:val="2"/>
        </w:numPr>
        <w:spacing w:before="60" w:after="60"/>
      </w:pPr>
      <w:r>
        <w:rPr>
          <w:rFonts w:ascii="Calibri" w:cs="Calibri" w:eastAsia="Calibri" w:hAnsi="Calibri"/>
          <w:color w:val="2D2D2D"/>
          <w:sz w:val="24"/>
          <w:szCs w:val="24"/>
        </w:rPr>
        <w:t xml:space="preserve">Optimización de recursos: permite identificar duplicidades, cuellos de botella y actividades sin valor añadido.</w:t>
      </w:r>
    </w:p>
    <w:p>
      <w:pPr>
        <w:spacing w:before="60" w:after="60"/>
      </w:pPr>
    </w:p>
    <w:p>
      <w:pPr>
        <w:spacing w:before="60" w:after="60"/>
      </w:pPr>
    </w:p>
    <w:p>
      <w:pPr>
        <w:pStyle w:val="Heading1"/>
        <w:spacing w:before="360" w:after="180"/>
      </w:pPr>
      <w:r>
        <w:rPr>
          <w:rFonts w:ascii="Arial" w:cs="Arial" w:eastAsia="Arial" w:hAnsi="Arial"/>
          <w:b/>
          <w:bCs/>
          <w:color w:val="1A1A2E"/>
          <w:sz w:val="32"/>
          <w:szCs w:val="32"/>
        </w:rPr>
        <w:t xml:space="preserve">5. Conclusiones</w:t>
      </w:r>
    </w:p>
    <w:p>
      <w:pPr>
        <w:pBdr>
          <w:bottom w:val="single" w:color="7B2FBE" w:sz="4" w:space="1"/>
        </w:pBdr>
        <w:spacing w:before="180" w:after="180"/>
      </w:pPr>
    </w:p>
    <w:p>
      <w:pPr>
        <w:spacing w:before="80" w:after="100"/>
      </w:pPr>
      <w:r>
        <w:rPr>
          <w:rFonts w:ascii="Calibri" w:cs="Calibri" w:eastAsia="Calibri" w:hAnsi="Calibri"/>
          <w:color w:val="2D2D2D"/>
          <w:sz w:val="24"/>
          <w:szCs w:val="24"/>
        </w:rPr>
        <w:t xml:space="preserve">El Mapa de Procesos es mucho más que un diagrama organizacional: es la representación visual del ADN operativo de una organización. Su elaboración correcta requiere comprender el sistema como un todo interconectado, donde cada proceso tiene un propósito claro y contribuye al objetivo final: la satisfacción del cliente.</w:t>
      </w:r>
    </w:p>
    <w:p>
      <w:pPr>
        <w:spacing w:before="60" w:after="60"/>
      </w:pPr>
    </w:p>
    <w:p>
      <w:pPr>
        <w:spacing w:before="80" w:after="100"/>
      </w:pPr>
      <w:r>
        <w:rPr>
          <w:rFonts w:ascii="Calibri" w:cs="Calibri" w:eastAsia="Calibri" w:hAnsi="Calibri"/>
          <w:color w:val="2D2D2D"/>
          <w:sz w:val="24"/>
          <w:szCs w:val="24"/>
        </w:rPr>
        <w:t xml:space="preserve">Los tres niveles —estratégicos, operativos y de apoyo— no son compartimentos estancos, sino elementos de un sistema dinámico que se retroalimenta constantemente. La clave está en gestionar ese sistema de forma integral, utilizando herramientas como el ciclo PHVA para asegurar la mejora continua.</w:t>
      </w:r>
    </w:p>
    <w:p>
      <w:pPr>
        <w:spacing w:before="60" w:after="60"/>
      </w:pPr>
    </w:p>
    <w:p>
      <w:pPr>
        <w:spacing w:before="80" w:after="100"/>
      </w:pPr>
      <w:r>
        <w:rPr>
          <w:rFonts w:ascii="Calibri" w:cs="Calibri" w:eastAsia="Calibri" w:hAnsi="Calibri"/>
          <w:color w:val="2D2D2D"/>
          <w:sz w:val="24"/>
          <w:szCs w:val="24"/>
        </w:rPr>
        <w:t xml:space="preserve">En un entorno organizacional cada vez más complejo y competitivo, el Mapa de Procesos se convierte en una ventaja estratégica: las organizaciones que conocen, documentan y mejoran continuamente sus procesos son más ágiles, más eficientes y más orientadas al valor que sus competidores.</w:t>
      </w:r>
    </w:p>
    <w:p>
      <w:pPr>
        <w:spacing w:before="60" w:after="60"/>
      </w:pP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FBE" w:sz="6"/>
              <w:left w:val="single" w:color="7B2FBE" w:sz="12"/>
              <w:bottom w:val="single" w:color="DDDDEE" w:sz="1"/>
              <w:right w:val="single" w:color="DDDDEE" w:sz="1"/>
            </w:tcBorders>
            <w:shd w:fill="F5F3FF" w:val="clear"/>
            <w:tcMar>
              <w:top w:type="dxa" w:w="100"/>
              <w:left w:type="dxa" w:w="180"/>
              <w:bottom w:type="dxa" w:w="100"/>
              <w:right w:type="dxa" w:w="120"/>
            </w:tcMar>
          </w:tcPr>
          <w:p>
            <w:r>
              <w:rPr>
                <w:rFonts w:ascii="Arial" w:cs="Arial" w:eastAsia="Arial" w:hAnsi="Arial"/>
                <w:b/>
                <w:bCs/>
                <w:color w:val="7B2FBE"/>
                <w:sz w:val="24"/>
                <w:szCs w:val="24"/>
              </w:rPr>
              <w:t xml:space="preserve">CONCLUSIÓN CLAVE</w:t>
            </w:r>
          </w:p>
          <w:p>
            <w:pPr>
              <w:spacing w:before="40" w:after="40"/>
            </w:pPr>
            <w:r>
              <w:rPr>
                <w:rFonts w:ascii="Calibri" w:cs="Calibri" w:eastAsia="Calibri" w:hAnsi="Calibri"/>
                <w:color w:val="333333"/>
                <w:sz w:val="22"/>
                <w:szCs w:val="22"/>
              </w:rPr>
              <w:t xml:space="preserve">Un Mapa de Procesos bien diseñado no es un documento estático archivado en una carpeta: es una herramienta viva de gestión que, cuando se usa correctamente, transforma la forma en que una organización comprende, comunica y mejora su forma de crear valor.</w:t>
            </w:r>
          </w:p>
        </w:tc>
      </w:tr>
    </w:tbl>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B2FBE" w:sz="4" w:space="1"/>
      </w:pBdr>
      <w:jc w:val="right"/>
    </w:pPr>
    <w:r>
      <w:rPr>
        <w:rFonts w:ascii="Calibri" w:cs="Calibri" w:eastAsia="Calibri" w:hAnsi="Calibri"/>
        <w:color w:val="888888"/>
        <w:sz w:val="18"/>
        <w:szCs w:val="18"/>
      </w:rPr>
      <w:t xml:space="preserve">Página  ·  Documento académico BPM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2FBE" w:sz="4" w:space="1"/>
      </w:pBdr>
    </w:pPr>
    <w:r>
      <w:rPr>
        <w:rFonts w:ascii="Calibri" w:cs="Calibri" w:eastAsia="Calibri" w:hAnsi="Calibri"/>
        <w:color w:val="7B2FBE"/>
        <w:sz w:val="18"/>
        <w:szCs w:val="18"/>
      </w:rPr>
      <w:t xml:space="preserve">MAPA DE PROCESOS  ·  Gestión por Procesos (BPM)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7B2FBE"/>
      <w:sz w:val="26"/>
      <w:szCs w:val="26"/>
    </w:rPr>
  </w:style>
  <w:style w:type="paragraph" w:styleId="Heading3">
    <w:name w:val="Heading 3"/>
    <w:basedOn w:val="Normal"/>
    <w:next w:val="Normal"/>
    <w:qFormat/>
    <w:pPr>
      <w:spacing w:before="200" w:after="80"/>
      <w:outlineLvl w:val="2"/>
    </w:pPr>
    <w:rPr>
      <w:rFonts w:ascii="Arial" w:cs="Arial" w:eastAsia="Arial" w:hAnsi="Arial"/>
      <w:b/>
      <w:bCs/>
      <w:color w:val="0099A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2026-03-21T15:04:46.212Z</dcterms:created>
  <dcterms:modified xsi:type="dcterms:W3CDTF">2026-03-21T15:04:46.213Z</dcterms:modified>
</cp:coreProperties>
</file>

<file path=docProps/custom.xml><?xml version="1.0" encoding="utf-8"?>
<Properties xmlns="http://schemas.openxmlformats.org/officeDocument/2006/custom-properties" xmlns:vt="http://schemas.openxmlformats.org/officeDocument/2006/docPropsVTypes"/>
</file>