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8806C" w14:textId="77777777" w:rsidR="00BD3184" w:rsidRPr="00BD3184" w:rsidRDefault="00BD3184" w:rsidP="00BD3184">
      <w:r w:rsidRPr="00BD3184">
        <w:t>¡Hola! Claro que sí, organizar la exposición de un informe tan completo requiere una buena estructura para que la presentación fluya de manera natural.</w:t>
      </w:r>
    </w:p>
    <w:p w14:paraId="0AD39CEF" w14:textId="77777777" w:rsidR="00BD3184" w:rsidRPr="00BD3184" w:rsidRDefault="00BD3184" w:rsidP="00BD3184">
      <w:r w:rsidRPr="00BD3184">
        <w:t xml:space="preserve">Considerando que el equipo está conformado por los cuatro integrantes mencionados en el documento (Nahuel Acuña, </w:t>
      </w:r>
      <w:proofErr w:type="spellStart"/>
      <w:r w:rsidRPr="00BD3184">
        <w:t>Debora</w:t>
      </w:r>
      <w:proofErr w:type="spellEnd"/>
      <w:r w:rsidRPr="00BD3184">
        <w:t xml:space="preserve"> Damacio, Ariana Mainete y Tomás Rotllant), te propongo la siguiente división equitativa. Está pensada para que cada uno aborde una temática que conecte lógicamente con la del siguiente compañero. </w:t>
      </w:r>
    </w:p>
    <w:p w14:paraId="73382D4D" w14:textId="77777777" w:rsidR="00BD3184" w:rsidRPr="00BD3184" w:rsidRDefault="00BD3184" w:rsidP="00BD3184">
      <w:pPr>
        <w:rPr>
          <w:b/>
          <w:bCs/>
        </w:rPr>
      </w:pPr>
      <w:r w:rsidRPr="00BD3184">
        <w:rPr>
          <w:b/>
          <w:bCs/>
        </w:rPr>
        <w:t>Paso a Paso: División de Temas para la Presentación</w:t>
      </w:r>
    </w:p>
    <w:p w14:paraId="4D2ED0D1" w14:textId="77777777" w:rsidR="00BD3184" w:rsidRPr="00BD3184" w:rsidRDefault="00BD3184" w:rsidP="00BD3184">
      <w:r w:rsidRPr="00BD3184">
        <w:rPr>
          <w:b/>
          <w:bCs/>
        </w:rPr>
        <w:t>1. Introducción y Evolución Comercial (Sugerido para Nahuel)</w:t>
      </w:r>
    </w:p>
    <w:p w14:paraId="180DC6DB" w14:textId="77777777" w:rsidR="00BD3184" w:rsidRPr="00BD3184" w:rsidRDefault="00BD3184" w:rsidP="00BD3184">
      <w:pPr>
        <w:numPr>
          <w:ilvl w:val="0"/>
          <w:numId w:val="1"/>
        </w:numPr>
      </w:pPr>
      <w:r w:rsidRPr="00BD3184">
        <w:rPr>
          <w:b/>
          <w:bCs/>
        </w:rPr>
        <w:t>Apertura:</w:t>
      </w:r>
      <w:r w:rsidRPr="00BD3184">
        <w:t xml:space="preserve"> Presentar los objetivos del informe y las dos preguntas fundamentales que guiaron la investigación. </w:t>
      </w:r>
    </w:p>
    <w:p w14:paraId="63928CBC" w14:textId="77777777" w:rsidR="00BD3184" w:rsidRPr="00BD3184" w:rsidRDefault="00BD3184" w:rsidP="00BD3184">
      <w:pPr>
        <w:numPr>
          <w:ilvl w:val="0"/>
          <w:numId w:val="1"/>
        </w:numPr>
      </w:pPr>
      <w:r w:rsidRPr="00BD3184">
        <w:rPr>
          <w:b/>
          <w:bCs/>
        </w:rPr>
        <w:t>Contexto Histórico:</w:t>
      </w:r>
      <w:r w:rsidRPr="00BD3184">
        <w:t xml:space="preserve"> Mencionar brevemente cómo la relación pasó del aislamiento a una fuerte integración. </w:t>
      </w:r>
    </w:p>
    <w:p w14:paraId="082DE596" w14:textId="77777777" w:rsidR="00BD3184" w:rsidRPr="00BD3184" w:rsidRDefault="00BD3184" w:rsidP="00BD3184">
      <w:pPr>
        <w:numPr>
          <w:ilvl w:val="0"/>
          <w:numId w:val="1"/>
        </w:numPr>
      </w:pPr>
      <w:r w:rsidRPr="00BD3184">
        <w:rPr>
          <w:b/>
          <w:bCs/>
        </w:rPr>
        <w:t>Dinámica de la Balanza Comercial:</w:t>
      </w:r>
      <w:r w:rsidRPr="00BD3184">
        <w:t xml:space="preserve"> Explicar el cambio de tendencia en la última década. </w:t>
      </w:r>
      <w:proofErr w:type="gramStart"/>
      <w:r w:rsidRPr="00BD3184">
        <w:t>Destacar</w:t>
      </w:r>
      <w:proofErr w:type="gramEnd"/>
      <w:r w:rsidRPr="00BD3184">
        <w:t xml:space="preserve"> cómo entre 2014-2020 Gran Bretaña exportaba más, pero a partir de 2022 la balanza se inclinó a favor de Estados Unidos, proyectando exportaciones estadounidenses de USD 97.009 millones para 2025. </w:t>
      </w:r>
    </w:p>
    <w:p w14:paraId="63CD6470" w14:textId="77777777" w:rsidR="00BD3184" w:rsidRPr="00BD3184" w:rsidRDefault="00BD3184" w:rsidP="00BD3184">
      <w:pPr>
        <w:numPr>
          <w:ilvl w:val="0"/>
          <w:numId w:val="1"/>
        </w:numPr>
      </w:pPr>
      <w:r w:rsidRPr="00BD3184">
        <w:rPr>
          <w:b/>
          <w:bCs/>
        </w:rPr>
        <w:t>Índice de Intensidad Comercial:</w:t>
      </w:r>
      <w:r w:rsidRPr="00BD3184">
        <w:t xml:space="preserve"> Contrastar el sesgo fluctuante y a la baja del Reino Unido frente a la consolidación del sesgo positivo de Estados Unidos (por encima de 1,10). </w:t>
      </w:r>
    </w:p>
    <w:p w14:paraId="5992F853" w14:textId="77777777" w:rsidR="00BD3184" w:rsidRPr="00BD3184" w:rsidRDefault="00BD3184" w:rsidP="00BD3184">
      <w:r w:rsidRPr="00BD3184">
        <w:rPr>
          <w:b/>
          <w:bCs/>
        </w:rPr>
        <w:t xml:space="preserve">2. Inserción Mundial y Características Estructurales (Sugerido para </w:t>
      </w:r>
      <w:proofErr w:type="spellStart"/>
      <w:r w:rsidRPr="00BD3184">
        <w:rPr>
          <w:b/>
          <w:bCs/>
        </w:rPr>
        <w:t>Debora</w:t>
      </w:r>
      <w:proofErr w:type="spellEnd"/>
      <w:r w:rsidRPr="00BD3184">
        <w:rPr>
          <w:b/>
          <w:bCs/>
        </w:rPr>
        <w:t>)</w:t>
      </w:r>
    </w:p>
    <w:p w14:paraId="764D679C" w14:textId="77777777" w:rsidR="00BD3184" w:rsidRPr="00BD3184" w:rsidRDefault="00BD3184" w:rsidP="00BD3184">
      <w:pPr>
        <w:numPr>
          <w:ilvl w:val="0"/>
          <w:numId w:val="2"/>
        </w:numPr>
      </w:pPr>
      <w:r w:rsidRPr="00BD3184">
        <w:rPr>
          <w:b/>
          <w:bCs/>
        </w:rPr>
        <w:t>Grados de Apertura:</w:t>
      </w:r>
      <w:r w:rsidRPr="00BD3184">
        <w:t xml:space="preserve"> Comparar las estrategias de inserción. Explicar por qué el índice de Estados Unidos es bajo y estable (en torno al 25%), mientras que el del Reino Unido es más alto y volátil (llegando al 71,34% en 2021), aclarando que esto responde al tamaño relativo de sus mercados y no a políticas proteccionistas. </w:t>
      </w:r>
    </w:p>
    <w:p w14:paraId="128CB540" w14:textId="77777777" w:rsidR="00BD3184" w:rsidRPr="00BD3184" w:rsidRDefault="00BD3184" w:rsidP="00BD3184">
      <w:pPr>
        <w:numPr>
          <w:ilvl w:val="0"/>
          <w:numId w:val="2"/>
        </w:numPr>
      </w:pPr>
      <w:r w:rsidRPr="00BD3184">
        <w:rPr>
          <w:b/>
          <w:bCs/>
        </w:rPr>
        <w:t>Complementariedad y Concentración:</w:t>
      </w:r>
      <w:r w:rsidRPr="00BD3184">
        <w:t xml:space="preserve"> Resaltar la alta complementariedad de ambas economías y cómo el bajo Índice de Herfindahl-Hirschman refleja que comercian una amplia gama de productos y no dependen de unos pocos bienes. </w:t>
      </w:r>
    </w:p>
    <w:p w14:paraId="3B12092E" w14:textId="77777777" w:rsidR="00BD3184" w:rsidRPr="00BD3184" w:rsidRDefault="00BD3184" w:rsidP="00BD3184">
      <w:r w:rsidRPr="00BD3184">
        <w:rPr>
          <w:b/>
          <w:bCs/>
        </w:rPr>
        <w:t>3. Composición del Comercio e Introducción Teórica (Sugerido para Ariana)</w:t>
      </w:r>
    </w:p>
    <w:p w14:paraId="3DF6F4A4" w14:textId="77777777" w:rsidR="00BD3184" w:rsidRPr="00BD3184" w:rsidRDefault="00BD3184" w:rsidP="00BD3184">
      <w:pPr>
        <w:numPr>
          <w:ilvl w:val="0"/>
          <w:numId w:val="3"/>
        </w:numPr>
      </w:pPr>
      <w:r w:rsidRPr="00BD3184">
        <w:rPr>
          <w:b/>
          <w:bCs/>
        </w:rPr>
        <w:t>Ventajas Comparativas Reveladas:</w:t>
      </w:r>
      <w:r w:rsidRPr="00BD3184">
        <w:t xml:space="preserve"> Detallar en qué sectores son fuertes cada uno. Estados Unidos en "Vehículos automóviles" y "Manufacturas </w:t>
      </w:r>
      <w:r w:rsidRPr="00BD3184">
        <w:lastRenderedPageBreak/>
        <w:t xml:space="preserve">diversas"; y Reino Unido en "Manufacturas diversas" y "Vidrio". Concluir que ambos son potencias en manufacturas industriales. </w:t>
      </w:r>
    </w:p>
    <w:p w14:paraId="461403A1" w14:textId="77777777" w:rsidR="00BD3184" w:rsidRPr="00BD3184" w:rsidRDefault="00BD3184" w:rsidP="00BD3184">
      <w:pPr>
        <w:numPr>
          <w:ilvl w:val="0"/>
          <w:numId w:val="3"/>
        </w:numPr>
      </w:pPr>
      <w:r w:rsidRPr="00BD3184">
        <w:rPr>
          <w:b/>
          <w:bCs/>
        </w:rPr>
        <w:t>Comercio Intraindustrial:</w:t>
      </w:r>
      <w:r w:rsidRPr="00BD3184">
        <w:t xml:space="preserve"> Introducir el índice de Grubel y Lloyd (que rondó entre 0,56 y 0,66). </w:t>
      </w:r>
      <w:proofErr w:type="gramStart"/>
      <w:r w:rsidRPr="00BD3184">
        <w:t>Explicar</w:t>
      </w:r>
      <w:proofErr w:type="gramEnd"/>
      <w:r w:rsidRPr="00BD3184">
        <w:t xml:space="preserve"> que el intercambio se da </w:t>
      </w:r>
      <w:r w:rsidRPr="00BD3184">
        <w:rPr>
          <w:i/>
          <w:iCs/>
        </w:rPr>
        <w:t>dentro</w:t>
      </w:r>
      <w:r w:rsidRPr="00BD3184">
        <w:t xml:space="preserve"> de los mismos sectores. </w:t>
      </w:r>
    </w:p>
    <w:p w14:paraId="08DC1F58" w14:textId="77777777" w:rsidR="00BD3184" w:rsidRPr="00BD3184" w:rsidRDefault="00BD3184" w:rsidP="00BD3184">
      <w:pPr>
        <w:numPr>
          <w:ilvl w:val="0"/>
          <w:numId w:val="3"/>
        </w:numPr>
      </w:pPr>
      <w:r w:rsidRPr="00BD3184">
        <w:rPr>
          <w:b/>
          <w:bCs/>
        </w:rPr>
        <w:t>Descarte de Modelos Clásicos:</w:t>
      </w:r>
      <w:r w:rsidRPr="00BD3184">
        <w:t xml:space="preserve"> Dar el pie a la teoría explicando por qué los modelos de Ricardo o Heckscher-Ohlin no sirven aquí (ambos países tienen dotaciones relativas de factores muy similares). </w:t>
      </w:r>
    </w:p>
    <w:p w14:paraId="7FAB1D00" w14:textId="77777777" w:rsidR="00BD3184" w:rsidRPr="00BD3184" w:rsidRDefault="00BD3184" w:rsidP="00BD3184">
      <w:r w:rsidRPr="00BD3184">
        <w:rPr>
          <w:b/>
          <w:bCs/>
        </w:rPr>
        <w:t>4. Modelo Teórico y Conclusiones (Sugerido para Tomás)</w:t>
      </w:r>
    </w:p>
    <w:p w14:paraId="62848561" w14:textId="77777777" w:rsidR="00BD3184" w:rsidRPr="00BD3184" w:rsidRDefault="00BD3184" w:rsidP="00BD3184">
      <w:pPr>
        <w:numPr>
          <w:ilvl w:val="0"/>
          <w:numId w:val="4"/>
        </w:numPr>
      </w:pPr>
      <w:r w:rsidRPr="00BD3184">
        <w:rPr>
          <w:b/>
          <w:bCs/>
        </w:rPr>
        <w:t>Nueva Teoría del Comercio (Krugman):</w:t>
      </w:r>
      <w:r w:rsidRPr="00BD3184">
        <w:t xml:space="preserve"> Explicar el núcleo del marco teórico. Por qué comercian dos países que son "iguales".</w:t>
      </w:r>
    </w:p>
    <w:p w14:paraId="10FDC829" w14:textId="77777777" w:rsidR="00BD3184" w:rsidRPr="00BD3184" w:rsidRDefault="00BD3184" w:rsidP="00BD3184">
      <w:pPr>
        <w:numPr>
          <w:ilvl w:val="0"/>
          <w:numId w:val="4"/>
        </w:numPr>
      </w:pPr>
      <w:r w:rsidRPr="00BD3184">
        <w:rPr>
          <w:b/>
          <w:bCs/>
        </w:rPr>
        <w:t>Supuestos Clave:</w:t>
      </w:r>
      <w:r w:rsidRPr="00BD3184">
        <w:t xml:space="preserve"> Hablar de las economías de escala (altos costos fijos en industrias complejas como la automotriz), la competencia imperfecta, y el concepto del "amor por la variedad" (los británicos compran autos de EE. UU. por la diferenciación de marcas y diseños). </w:t>
      </w:r>
    </w:p>
    <w:p w14:paraId="72F49246" w14:textId="77777777" w:rsidR="00BD3184" w:rsidRPr="00BD3184" w:rsidRDefault="00BD3184" w:rsidP="00BD3184">
      <w:pPr>
        <w:numPr>
          <w:ilvl w:val="0"/>
          <w:numId w:val="4"/>
        </w:numPr>
      </w:pPr>
      <w:r w:rsidRPr="00BD3184">
        <w:rPr>
          <w:b/>
          <w:bCs/>
        </w:rPr>
        <w:t>Enfoque de Firmas Heterogéneas (</w:t>
      </w:r>
      <w:proofErr w:type="spellStart"/>
      <w:r w:rsidRPr="00BD3184">
        <w:rPr>
          <w:b/>
          <w:bCs/>
        </w:rPr>
        <w:t>Melitz</w:t>
      </w:r>
      <w:proofErr w:type="spellEnd"/>
      <w:r w:rsidRPr="00BD3184">
        <w:rPr>
          <w:b/>
          <w:bCs/>
        </w:rPr>
        <w:t>):</w:t>
      </w:r>
      <w:r w:rsidRPr="00BD3184">
        <w:t xml:space="preserve"> Mencionar brevemente cómo la apertura comercial reasigna recursos, premiando a las industrias eficientes y desplazando a las que no lo son. </w:t>
      </w:r>
    </w:p>
    <w:p w14:paraId="2B9C8F47" w14:textId="77777777" w:rsidR="00BD3184" w:rsidRPr="00BD3184" w:rsidRDefault="00BD3184" w:rsidP="00BD3184">
      <w:pPr>
        <w:numPr>
          <w:ilvl w:val="0"/>
          <w:numId w:val="4"/>
        </w:numPr>
      </w:pPr>
      <w:r w:rsidRPr="00BD3184">
        <w:rPr>
          <w:b/>
          <w:bCs/>
        </w:rPr>
        <w:t>Cierre/Conclusión:</w:t>
      </w:r>
      <w:r w:rsidRPr="00BD3184">
        <w:t xml:space="preserve"> Sintetizar las respuestas a las preguntas iniciales. </w:t>
      </w:r>
    </w:p>
    <w:p w14:paraId="30315669" w14:textId="77777777" w:rsidR="00BD3184" w:rsidRPr="00BD3184" w:rsidRDefault="00BD3184" w:rsidP="00BD3184">
      <w:r w:rsidRPr="00BD3184">
        <w:pict w14:anchorId="27800ABB">
          <v:rect id="_x0000_i1031" style="width:0;height:1.5pt" o:hralign="center" o:hrstd="t" o:hr="t" fillcolor="#a0a0a0" stroked="f"/>
        </w:pict>
      </w:r>
    </w:p>
    <w:p w14:paraId="6FCCB5C9" w14:textId="77777777" w:rsidR="00BD3184" w:rsidRPr="00BD3184" w:rsidRDefault="00BD3184" w:rsidP="00BD3184">
      <w:pPr>
        <w:rPr>
          <w:b/>
          <w:bCs/>
        </w:rPr>
      </w:pPr>
      <w:r w:rsidRPr="00BD3184">
        <w:rPr>
          <w:b/>
          <w:bCs/>
        </w:rPr>
        <w:t>Referencias Bibliográficas Adicionales (</w:t>
      </w:r>
      <w:proofErr w:type="spellStart"/>
      <w:r w:rsidRPr="00BD3184">
        <w:rPr>
          <w:b/>
          <w:bCs/>
        </w:rPr>
        <w:t>Papers</w:t>
      </w:r>
      <w:proofErr w:type="spellEnd"/>
      <w:r w:rsidRPr="00BD3184">
        <w:rPr>
          <w:b/>
          <w:bCs/>
        </w:rPr>
        <w:t xml:space="preserve"> y Artículos)</w:t>
      </w:r>
    </w:p>
    <w:p w14:paraId="1B66D057" w14:textId="77777777" w:rsidR="00BD3184" w:rsidRPr="00BD3184" w:rsidRDefault="00BD3184" w:rsidP="00BD3184">
      <w:r w:rsidRPr="00BD3184">
        <w:t>Para respaldar empíricamente las hipótesis del informe (especialmente el patrón de comercio intraindustrial y la Nueva Teoría del Comercio), te sugiero sumar estas referencias académicas fundamentales:</w:t>
      </w:r>
    </w:p>
    <w:p w14:paraId="525357DF" w14:textId="77777777" w:rsidR="00BD3184" w:rsidRPr="00BD3184" w:rsidRDefault="00BD3184" w:rsidP="00BD3184">
      <w:r w:rsidRPr="00BD3184">
        <w:rPr>
          <w:b/>
          <w:bCs/>
        </w:rPr>
        <w:t>Sobre la Competencia Monopolística y el Comercio Intraindustrial (Hipótesis de Krugman):</w:t>
      </w:r>
    </w:p>
    <w:p w14:paraId="625EDDAD" w14:textId="77777777" w:rsidR="00BD3184" w:rsidRPr="00BD3184" w:rsidRDefault="00BD3184" w:rsidP="00BD3184">
      <w:pPr>
        <w:numPr>
          <w:ilvl w:val="0"/>
          <w:numId w:val="5"/>
        </w:numPr>
      </w:pPr>
      <w:r w:rsidRPr="00BD3184">
        <w:rPr>
          <w:b/>
          <w:bCs/>
        </w:rPr>
        <w:t>Paper fundacional:</w:t>
      </w:r>
      <w:r w:rsidRPr="00BD3184">
        <w:t xml:space="preserve"> Krugman, P. R. (1979). </w:t>
      </w:r>
      <w:r w:rsidRPr="00BD3184">
        <w:rPr>
          <w:i/>
          <w:iCs/>
          <w:lang w:val="en-US"/>
        </w:rPr>
        <w:t>"Increasing returns, monopolistic competition, and international trade."</w:t>
      </w:r>
      <w:r w:rsidRPr="00BD3184">
        <w:rPr>
          <w:lang w:val="en-US"/>
        </w:rPr>
        <w:t xml:space="preserve"> </w:t>
      </w:r>
      <w:proofErr w:type="spellStart"/>
      <w:r w:rsidRPr="00BD3184">
        <w:t>Journal</w:t>
      </w:r>
      <w:proofErr w:type="spellEnd"/>
      <w:r w:rsidRPr="00BD3184">
        <w:t xml:space="preserve"> </w:t>
      </w:r>
      <w:proofErr w:type="spellStart"/>
      <w:r w:rsidRPr="00BD3184">
        <w:t>of</w:t>
      </w:r>
      <w:proofErr w:type="spellEnd"/>
      <w:r w:rsidRPr="00BD3184">
        <w:t xml:space="preserve"> International </w:t>
      </w:r>
      <w:proofErr w:type="spellStart"/>
      <w:r w:rsidRPr="00BD3184">
        <w:t>Economics</w:t>
      </w:r>
      <w:proofErr w:type="spellEnd"/>
      <w:r w:rsidRPr="00BD3184">
        <w:t>, 9(4), 469-479.</w:t>
      </w:r>
    </w:p>
    <w:p w14:paraId="6C6B239D" w14:textId="77777777" w:rsidR="00BD3184" w:rsidRPr="00BD3184" w:rsidRDefault="00BD3184" w:rsidP="00BD3184">
      <w:pPr>
        <w:numPr>
          <w:ilvl w:val="1"/>
          <w:numId w:val="5"/>
        </w:numPr>
      </w:pPr>
      <w:r w:rsidRPr="00BD3184">
        <w:rPr>
          <w:i/>
          <w:iCs/>
        </w:rPr>
        <w:t>Por qué sirve:</w:t>
      </w:r>
      <w:r w:rsidRPr="00BD3184">
        <w:t xml:space="preserve"> Es el texto original donde Krugman demuestra matemáticamente que el comercio puede surgir simplemente por la existencia de economías de escala y el "amor por la variedad" de los consumidores, sin necesidad de ventajas comparativas clásicas.</w:t>
      </w:r>
    </w:p>
    <w:p w14:paraId="65424235" w14:textId="77777777" w:rsidR="00BD3184" w:rsidRPr="00BD3184" w:rsidRDefault="00BD3184" w:rsidP="00BD3184">
      <w:pPr>
        <w:numPr>
          <w:ilvl w:val="0"/>
          <w:numId w:val="5"/>
        </w:numPr>
      </w:pPr>
      <w:r w:rsidRPr="00BD3184">
        <w:rPr>
          <w:b/>
          <w:bCs/>
        </w:rPr>
        <w:lastRenderedPageBreak/>
        <w:t>Evidencia empírica clásica:</w:t>
      </w:r>
      <w:r w:rsidRPr="00BD3184">
        <w:t xml:space="preserve"> </w:t>
      </w:r>
      <w:proofErr w:type="spellStart"/>
      <w:r w:rsidRPr="00BD3184">
        <w:t>Helpman</w:t>
      </w:r>
      <w:proofErr w:type="spellEnd"/>
      <w:r w:rsidRPr="00BD3184">
        <w:t xml:space="preserve">, E. (1981). </w:t>
      </w:r>
      <w:r w:rsidRPr="00BD3184">
        <w:rPr>
          <w:i/>
          <w:iCs/>
          <w:lang w:val="en-US"/>
        </w:rPr>
        <w:t>"International trade in the presence of product differentiation, economies of scale and monopolistic competition: A Chamberlin-Heckscher-Ohlin approach."</w:t>
      </w:r>
      <w:r w:rsidRPr="00BD3184">
        <w:rPr>
          <w:lang w:val="en-US"/>
        </w:rPr>
        <w:t xml:space="preserve"> </w:t>
      </w:r>
      <w:proofErr w:type="spellStart"/>
      <w:r w:rsidRPr="00BD3184">
        <w:t>Journal</w:t>
      </w:r>
      <w:proofErr w:type="spellEnd"/>
      <w:r w:rsidRPr="00BD3184">
        <w:t xml:space="preserve"> </w:t>
      </w:r>
      <w:proofErr w:type="spellStart"/>
      <w:r w:rsidRPr="00BD3184">
        <w:t>of</w:t>
      </w:r>
      <w:proofErr w:type="spellEnd"/>
      <w:r w:rsidRPr="00BD3184">
        <w:t xml:space="preserve"> International </w:t>
      </w:r>
      <w:proofErr w:type="spellStart"/>
      <w:r w:rsidRPr="00BD3184">
        <w:t>Economics</w:t>
      </w:r>
      <w:proofErr w:type="spellEnd"/>
      <w:r w:rsidRPr="00BD3184">
        <w:t>, 11(3), 305-340.</w:t>
      </w:r>
    </w:p>
    <w:p w14:paraId="39F2D4FA" w14:textId="77777777" w:rsidR="00BD3184" w:rsidRPr="00BD3184" w:rsidRDefault="00BD3184" w:rsidP="00BD3184">
      <w:r w:rsidRPr="00BD3184">
        <w:rPr>
          <w:b/>
          <w:bCs/>
        </w:rPr>
        <w:t xml:space="preserve">Sobre el enfoque de Firmas Heterogéneas (Hipótesis de </w:t>
      </w:r>
      <w:proofErr w:type="spellStart"/>
      <w:r w:rsidRPr="00BD3184">
        <w:rPr>
          <w:b/>
          <w:bCs/>
        </w:rPr>
        <w:t>Melitz</w:t>
      </w:r>
      <w:proofErr w:type="spellEnd"/>
      <w:r w:rsidRPr="00BD3184">
        <w:rPr>
          <w:b/>
          <w:bCs/>
        </w:rPr>
        <w:t>):</w:t>
      </w:r>
    </w:p>
    <w:p w14:paraId="33E15FF9" w14:textId="77777777" w:rsidR="00BD3184" w:rsidRPr="00BD3184" w:rsidRDefault="00BD3184" w:rsidP="00BD3184">
      <w:pPr>
        <w:numPr>
          <w:ilvl w:val="0"/>
          <w:numId w:val="6"/>
        </w:numPr>
      </w:pPr>
      <w:r w:rsidRPr="00BD3184">
        <w:rPr>
          <w:b/>
          <w:bCs/>
        </w:rPr>
        <w:t>Paper fundacional:</w:t>
      </w:r>
      <w:r w:rsidRPr="00BD3184">
        <w:t xml:space="preserve"> </w:t>
      </w:r>
      <w:proofErr w:type="spellStart"/>
      <w:r w:rsidRPr="00BD3184">
        <w:t>Melitz</w:t>
      </w:r>
      <w:proofErr w:type="spellEnd"/>
      <w:r w:rsidRPr="00BD3184">
        <w:t xml:space="preserve">, M. J. (2003). </w:t>
      </w:r>
      <w:r w:rsidRPr="00BD3184">
        <w:rPr>
          <w:i/>
          <w:iCs/>
          <w:lang w:val="en-US"/>
        </w:rPr>
        <w:t>"The impact of trade on intra-industry reallocations and aggregate industry productivity."</w:t>
      </w:r>
      <w:r w:rsidRPr="00BD3184">
        <w:rPr>
          <w:lang w:val="en-US"/>
        </w:rPr>
        <w:t xml:space="preserve"> </w:t>
      </w:r>
      <w:proofErr w:type="spellStart"/>
      <w:r w:rsidRPr="00BD3184">
        <w:t>Econometrica</w:t>
      </w:r>
      <w:proofErr w:type="spellEnd"/>
      <w:r w:rsidRPr="00BD3184">
        <w:t>, 71(6), 1695-1725.</w:t>
      </w:r>
    </w:p>
    <w:p w14:paraId="682BB589" w14:textId="77777777" w:rsidR="00BD3184" w:rsidRPr="00BD3184" w:rsidRDefault="00BD3184" w:rsidP="00BD3184">
      <w:pPr>
        <w:numPr>
          <w:ilvl w:val="1"/>
          <w:numId w:val="6"/>
        </w:numPr>
      </w:pPr>
      <w:r w:rsidRPr="00BD3184">
        <w:rPr>
          <w:i/>
          <w:iCs/>
        </w:rPr>
        <w:t>Por qué sirve:</w:t>
      </w:r>
      <w:r w:rsidRPr="00BD3184">
        <w:t xml:space="preserve"> Respalda el argumento del informe sobre cómo la eliminación de barreras comerciales beneficia a las industrias más eficientes y productivas, obligando a las menos competitivas a salir del mercado.</w:t>
      </w:r>
    </w:p>
    <w:p w14:paraId="6FE0400E" w14:textId="77777777" w:rsidR="00BD3184" w:rsidRPr="00BD3184" w:rsidRDefault="00BD3184" w:rsidP="00BD3184">
      <w:r w:rsidRPr="00BD3184">
        <w:rPr>
          <w:b/>
          <w:bCs/>
        </w:rPr>
        <w:t>Sobre el Índice de Comercio Intraindustrial (Grubel-Lloyd):</w:t>
      </w:r>
    </w:p>
    <w:p w14:paraId="09063986" w14:textId="77777777" w:rsidR="00BD3184" w:rsidRPr="00BD3184" w:rsidRDefault="00BD3184" w:rsidP="00BD3184">
      <w:pPr>
        <w:numPr>
          <w:ilvl w:val="0"/>
          <w:numId w:val="7"/>
        </w:numPr>
      </w:pPr>
      <w:r w:rsidRPr="00BD3184">
        <w:rPr>
          <w:b/>
          <w:bCs/>
        </w:rPr>
        <w:t>Libro base:</w:t>
      </w:r>
      <w:r w:rsidRPr="00BD3184">
        <w:t xml:space="preserve"> Grubel, H. G., &amp; Lloyd, P. J. (1975). </w:t>
      </w:r>
      <w:r w:rsidRPr="00BD3184">
        <w:rPr>
          <w:i/>
          <w:iCs/>
          <w:lang w:val="en-US"/>
        </w:rPr>
        <w:t>"Intra-industry trade: the theory and measurement of international trade in differentiated products."</w:t>
      </w:r>
      <w:r w:rsidRPr="00BD3184">
        <w:rPr>
          <w:lang w:val="en-US"/>
        </w:rPr>
        <w:t xml:space="preserve"> </w:t>
      </w:r>
      <w:r w:rsidRPr="00BD3184">
        <w:t>Macmillan.</w:t>
      </w:r>
    </w:p>
    <w:p w14:paraId="4ED97477" w14:textId="77777777" w:rsidR="00BD3184" w:rsidRPr="00BD3184" w:rsidRDefault="00BD3184" w:rsidP="00BD3184">
      <w:pPr>
        <w:numPr>
          <w:ilvl w:val="1"/>
          <w:numId w:val="7"/>
        </w:numPr>
      </w:pPr>
      <w:r w:rsidRPr="00BD3184">
        <w:rPr>
          <w:i/>
          <w:iCs/>
        </w:rPr>
        <w:t>Por qué sirve:</w:t>
      </w:r>
      <w:r w:rsidRPr="00BD3184">
        <w:t xml:space="preserve"> Da sustento metodológico al cálculo del índice que utilizaron en el "Cuadro 2" del informe para demostrar la sofisticación comercial.</w:t>
      </w:r>
    </w:p>
    <w:p w14:paraId="52B27948" w14:textId="77777777" w:rsidR="00BD3184" w:rsidRDefault="00BD3184"/>
    <w:sectPr w:rsidR="00BD31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AEA"/>
    <w:multiLevelType w:val="multilevel"/>
    <w:tmpl w:val="953E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15AE6"/>
    <w:multiLevelType w:val="multilevel"/>
    <w:tmpl w:val="C0A0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E1817"/>
    <w:multiLevelType w:val="multilevel"/>
    <w:tmpl w:val="CC76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90E3C"/>
    <w:multiLevelType w:val="multilevel"/>
    <w:tmpl w:val="8724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2512B"/>
    <w:multiLevelType w:val="multilevel"/>
    <w:tmpl w:val="4970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51EFD"/>
    <w:multiLevelType w:val="multilevel"/>
    <w:tmpl w:val="052C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66C6C"/>
    <w:multiLevelType w:val="multilevel"/>
    <w:tmpl w:val="604A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73290">
    <w:abstractNumId w:val="2"/>
  </w:num>
  <w:num w:numId="2" w16cid:durableId="691536618">
    <w:abstractNumId w:val="5"/>
  </w:num>
  <w:num w:numId="3" w16cid:durableId="1573856946">
    <w:abstractNumId w:val="0"/>
  </w:num>
  <w:num w:numId="4" w16cid:durableId="542325950">
    <w:abstractNumId w:val="4"/>
  </w:num>
  <w:num w:numId="5" w16cid:durableId="1570575881">
    <w:abstractNumId w:val="1"/>
  </w:num>
  <w:num w:numId="6" w16cid:durableId="335807388">
    <w:abstractNumId w:val="6"/>
  </w:num>
  <w:num w:numId="7" w16cid:durableId="1460294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184"/>
    <w:rsid w:val="00BD3184"/>
    <w:rsid w:val="00C5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2B91E"/>
  <w15:chartTrackingRefBased/>
  <w15:docId w15:val="{57748858-E7CD-41FA-B0DC-918BDA122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3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1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1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1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1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1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1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3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3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3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31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31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31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1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3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790</Words>
  <Characters>4346</Characters>
  <Application>Microsoft Office Word</Application>
  <DocSecurity>0</DocSecurity>
  <Lines>36</Lines>
  <Paragraphs>10</Paragraphs>
  <ScaleCrop>false</ScaleCrop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Rotllant</dc:creator>
  <cp:keywords/>
  <dc:description/>
  <cp:lastModifiedBy>Tomas Rotllant</cp:lastModifiedBy>
  <cp:revision>1</cp:revision>
  <dcterms:created xsi:type="dcterms:W3CDTF">2026-05-06T13:09:00Z</dcterms:created>
  <dcterms:modified xsi:type="dcterms:W3CDTF">2026-05-06T13:09:00Z</dcterms:modified>
</cp:coreProperties>
</file>