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365" w:rsidRPr="00A77365" w:rsidRDefault="00A77365" w:rsidP="00A7736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b/>
          <w:bCs/>
          <w:color w:val="000000"/>
          <w:sz w:val="72"/>
          <w:szCs w:val="72"/>
          <w:lang w:eastAsia="pl-PL"/>
        </w:rPr>
        <w:t>Bezpieczeństwo sieci teleinformatycznych</w:t>
      </w:r>
    </w:p>
    <w:p w:rsidR="00A77365" w:rsidRPr="00A77365" w:rsidRDefault="00A77365" w:rsidP="00A77365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A77365" w:rsidRPr="00A77365" w:rsidRDefault="00A77365" w:rsidP="00A7736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b/>
          <w:bCs/>
          <w:color w:val="000000"/>
          <w:sz w:val="36"/>
          <w:szCs w:val="36"/>
          <w:lang w:eastAsia="pl-PL"/>
        </w:rPr>
        <w:t>Prowadzący: Dr inż. Marcin Markowski</w:t>
      </w:r>
    </w:p>
    <w:p w:rsidR="00A77365" w:rsidRDefault="00A7736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  <w:r w:rsidRPr="00A77365">
        <w:rPr>
          <w:rFonts w:eastAsia="Times New Roman" w:cs="Times New Roman"/>
          <w:sz w:val="24"/>
          <w:szCs w:val="24"/>
          <w:lang w:eastAsia="pl-PL"/>
        </w:rPr>
        <w:br/>
      </w:r>
    </w:p>
    <w:p w:rsidR="00DB1A35" w:rsidRDefault="00DB1A3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DB1A35" w:rsidRDefault="00DB1A3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DB1A35" w:rsidRDefault="00DB1A3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DB1A35" w:rsidRDefault="00DB1A3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DB1A35" w:rsidRDefault="00DB1A3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DB1A35" w:rsidRPr="00A77365" w:rsidRDefault="00DB1A35" w:rsidP="00A77365">
      <w:pPr>
        <w:spacing w:after="24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A77365" w:rsidRPr="00A77365" w:rsidRDefault="00A77365" w:rsidP="00A77365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b/>
          <w:bCs/>
          <w:color w:val="000000"/>
          <w:szCs w:val="26"/>
          <w:lang w:eastAsia="pl-PL"/>
        </w:rPr>
        <w:t>Wykonali:</w:t>
      </w:r>
    </w:p>
    <w:p w:rsidR="00A77365" w:rsidRPr="00A77365" w:rsidRDefault="00A77365" w:rsidP="00A77365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Cs w:val="26"/>
          <w:lang w:eastAsia="pl-PL"/>
        </w:rPr>
        <w:t>Tomasz Borusiewicz, 219278</w:t>
      </w:r>
    </w:p>
    <w:p w:rsidR="00A77365" w:rsidRPr="00A77365" w:rsidRDefault="00A77365" w:rsidP="00A77365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Cs w:val="26"/>
          <w:lang w:eastAsia="pl-PL"/>
        </w:rPr>
        <w:t xml:space="preserve">Bartłomiej Bednarz, </w:t>
      </w:r>
    </w:p>
    <w:p w:rsidR="00DB1A35" w:rsidRDefault="00A77365" w:rsidP="00DB1A35">
      <w:pPr>
        <w:spacing w:after="0" w:line="240" w:lineRule="auto"/>
        <w:rPr>
          <w:rFonts w:eastAsia="Times New Roman" w:cs="Times New Roman"/>
          <w:color w:val="000000"/>
          <w:szCs w:val="26"/>
          <w:lang w:eastAsia="pl-PL"/>
        </w:rPr>
      </w:pPr>
      <w:r w:rsidRPr="00A77365">
        <w:rPr>
          <w:rFonts w:eastAsia="Times New Roman" w:cs="Times New Roman"/>
          <w:color w:val="000000"/>
          <w:szCs w:val="26"/>
          <w:lang w:eastAsia="pl-PL"/>
        </w:rPr>
        <w:t>Michał Polek,</w:t>
      </w:r>
    </w:p>
    <w:p w:rsidR="00DB1A35" w:rsidRDefault="00DB1A35" w:rsidP="00DB1A35">
      <w:pPr>
        <w:spacing w:after="0" w:line="240" w:lineRule="auto"/>
        <w:rPr>
          <w:rFonts w:eastAsia="Times New Roman" w:cs="Times New Roman"/>
          <w:color w:val="000000"/>
          <w:szCs w:val="26"/>
          <w:lang w:eastAsia="pl-PL"/>
        </w:rPr>
      </w:pPr>
    </w:p>
    <w:p w:rsidR="00DB1A35" w:rsidRPr="00DB1A35" w:rsidRDefault="00DB1A35" w:rsidP="00DB1A35">
      <w:pPr>
        <w:spacing w:after="0" w:line="240" w:lineRule="auto"/>
        <w:rPr>
          <w:rFonts w:eastAsia="Times New Roman" w:cs="Times New Roman"/>
          <w:color w:val="000000"/>
          <w:szCs w:val="26"/>
          <w:lang w:eastAsia="pl-PL"/>
        </w:rPr>
      </w:pPr>
    </w:p>
    <w:p w:rsidR="00DB1A35" w:rsidRDefault="00DB1A35" w:rsidP="00DB1A35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Wstęp</w:t>
      </w:r>
    </w:p>
    <w:p w:rsidR="00DB1A35" w:rsidRDefault="00DB1A35" w:rsidP="00DB1A35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 w:rsidRPr="00DB1A35">
        <w:rPr>
          <w:b/>
          <w:sz w:val="28"/>
          <w:szCs w:val="28"/>
        </w:rPr>
        <w:t>Cel projektu</w:t>
      </w:r>
    </w:p>
    <w:p w:rsidR="0062712B" w:rsidRPr="0062712B" w:rsidRDefault="0062712B" w:rsidP="0062712B">
      <w:pPr>
        <w:ind w:firstLine="360"/>
        <w:rPr>
          <w:sz w:val="24"/>
          <w:szCs w:val="24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 xml:space="preserve">Celem projektu jest opracowanie kompleksowej dokumentacji bezpieczeństwa teleinformatycznego dla firmy </w:t>
      </w:r>
      <w:r w:rsidRPr="00A77365">
        <w:rPr>
          <w:rFonts w:eastAsia="Times New Roman" w:cs="Times New Roman"/>
          <w:sz w:val="24"/>
          <w:szCs w:val="24"/>
          <w:lang w:eastAsia="pl-PL"/>
        </w:rPr>
        <w:t>“J.M. Consulting</w:t>
      </w: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” zwanego dalej zleceniodawcą. W skład dokumentacji wchodzić będzie: analiza ryzyka, określenie wymagań projektowych, ogólna polityka bezpieczeństwa, plan bezpieczeństwa teleinformatycznego oraz plany odtwarzania ciągłości działania.</w:t>
      </w:r>
    </w:p>
    <w:p w:rsidR="00DB1A35" w:rsidRDefault="00DB1A35" w:rsidP="00DB1A35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 w:rsidRPr="00DB1A35">
        <w:rPr>
          <w:b/>
          <w:sz w:val="28"/>
          <w:szCs w:val="28"/>
        </w:rPr>
        <w:t>Charakterystyka firmy</w:t>
      </w:r>
    </w:p>
    <w:p w:rsidR="0062712B" w:rsidRPr="00A77365" w:rsidRDefault="0062712B" w:rsidP="0062712B">
      <w:pPr>
        <w:spacing w:after="0" w:line="240" w:lineRule="auto"/>
        <w:ind w:firstLine="360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Poniżej opisana została charakterystyka firma dla której wykonana zostanie dokumentacja bezpieczeństwa teleinformatycznego</w:t>
      </w:r>
      <w:r w:rsidRPr="00A77365">
        <w:rPr>
          <w:rFonts w:eastAsia="Times New Roman" w:cs="Times New Roman"/>
          <w:color w:val="000000"/>
          <w:szCs w:val="26"/>
          <w:lang w:eastAsia="pl-PL"/>
        </w:rPr>
        <w:t>.</w:t>
      </w:r>
    </w:p>
    <w:p w:rsidR="0062712B" w:rsidRPr="00A77365" w:rsidRDefault="0062712B" w:rsidP="0062712B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62712B" w:rsidRPr="00A77365" w:rsidRDefault="0062712B" w:rsidP="0062712B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Cs w:val="26"/>
          <w:lang w:eastAsia="pl-PL"/>
        </w:rPr>
        <w:t xml:space="preserve">    </w:t>
      </w:r>
      <w:r w:rsidRPr="00A77365">
        <w:rPr>
          <w:rFonts w:eastAsia="Times New Roman" w:cs="Times New Roman"/>
          <w:b/>
          <w:bCs/>
          <w:color w:val="000000"/>
          <w:szCs w:val="26"/>
          <w:lang w:eastAsia="pl-PL"/>
        </w:rPr>
        <w:t>Profil działalności instytucji</w:t>
      </w:r>
    </w:p>
    <w:p w:rsidR="0062712B" w:rsidRPr="00A77365" w:rsidRDefault="0062712B" w:rsidP="0062712B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b/>
          <w:bCs/>
          <w:color w:val="000000"/>
          <w:szCs w:val="26"/>
          <w:lang w:eastAsia="pl-PL"/>
        </w:rPr>
        <w:t xml:space="preserve">    </w:t>
      </w:r>
    </w:p>
    <w:p w:rsidR="0062712B" w:rsidRPr="00A77365" w:rsidRDefault="0062712B" w:rsidP="0062712B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A77365">
        <w:rPr>
          <w:rFonts w:eastAsia="Times New Roman" w:cs="Times New Roman"/>
          <w:b/>
          <w:bCs/>
          <w:color w:val="000000"/>
          <w:szCs w:val="26"/>
          <w:lang w:eastAsia="pl-PL"/>
        </w:rPr>
        <w:t xml:space="preserve">    </w:t>
      </w: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 xml:space="preserve">Przedsiębiorstwo mieści się przy ulicy </w:t>
      </w:r>
      <w:r w:rsidRPr="00A77365">
        <w:rPr>
          <w:rFonts w:eastAsia="Times New Roman" w:cs="Times New Roman"/>
          <w:sz w:val="24"/>
          <w:szCs w:val="24"/>
          <w:lang w:eastAsia="pl-PL"/>
        </w:rPr>
        <w:t>Polnej 2</w:t>
      </w: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 xml:space="preserve"> we Wrocławiu w budynku “Red Tower”. Zajmuje kolejno pierwsze, drugie, trzecie oraz czwarte piętro. Biuro prawne “J.M. Consulting” zajmuje się kompleksową obsługą klientów z zakresu dziedzin prawnych. Zakres oferowanych usług obejmuje między innymi:</w:t>
      </w:r>
    </w:p>
    <w:p w:rsidR="0062712B" w:rsidRPr="00A77365" w:rsidRDefault="0062712B" w:rsidP="0062712B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62712B" w:rsidRPr="00A77365" w:rsidRDefault="0062712B" w:rsidP="0062712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Doradztwo prawne,</w:t>
      </w:r>
    </w:p>
    <w:p w:rsidR="0062712B" w:rsidRPr="00A77365" w:rsidRDefault="0062712B" w:rsidP="0062712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Konsultacje i doradztwo, opiniowanie wniosków,</w:t>
      </w:r>
    </w:p>
    <w:p w:rsidR="0062712B" w:rsidRPr="00A77365" w:rsidRDefault="0062712B" w:rsidP="0062712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Przygotowywanie wniosków o dofinansowania lub preferencyjne pożyczki dla osób zamierzających założyć własną działalność gospodarczą,</w:t>
      </w:r>
    </w:p>
    <w:p w:rsidR="0062712B" w:rsidRPr="00A77365" w:rsidRDefault="0062712B" w:rsidP="0062712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Opracowanie wniosków o dofinansowanie ze środków unijnych i krajowych,</w:t>
      </w:r>
    </w:p>
    <w:p w:rsidR="0062712B" w:rsidRPr="00A77365" w:rsidRDefault="0062712B" w:rsidP="0062712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Zarządzanie projektami,</w:t>
      </w:r>
    </w:p>
    <w:p w:rsidR="0062712B" w:rsidRDefault="0062712B" w:rsidP="0062712B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6"/>
          <w:lang w:eastAsia="pl-PL"/>
        </w:rPr>
      </w:pPr>
      <w:r w:rsidRPr="00A77365">
        <w:rPr>
          <w:rFonts w:eastAsia="Times New Roman" w:cs="Times New Roman"/>
          <w:color w:val="000000"/>
          <w:sz w:val="24"/>
          <w:szCs w:val="24"/>
          <w:lang w:eastAsia="pl-PL"/>
        </w:rPr>
        <w:t>Szkolenia z zakresu prawa pracy, prawa cywilnego i prawa administracyjnego</w:t>
      </w:r>
      <w:r w:rsidRPr="00A77365">
        <w:rPr>
          <w:rFonts w:eastAsia="Times New Roman" w:cs="Times New Roman"/>
          <w:color w:val="000000"/>
          <w:szCs w:val="26"/>
          <w:lang w:eastAsia="pl-PL"/>
        </w:rPr>
        <w:t>.</w:t>
      </w:r>
    </w:p>
    <w:p w:rsidR="0062712B" w:rsidRPr="0062712B" w:rsidRDefault="0062712B" w:rsidP="0062712B">
      <w:pPr>
        <w:rPr>
          <w:b/>
          <w:sz w:val="28"/>
          <w:szCs w:val="28"/>
        </w:rPr>
      </w:pPr>
    </w:p>
    <w:p w:rsidR="00DB1A35" w:rsidRDefault="00DB1A35" w:rsidP="00DB1A35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 w:rsidRPr="00DB1A35">
        <w:rPr>
          <w:b/>
          <w:sz w:val="28"/>
          <w:szCs w:val="28"/>
        </w:rPr>
        <w:t>Zasoby informatyczne i struktura sieci</w:t>
      </w:r>
    </w:p>
    <w:p w:rsidR="0062712B" w:rsidRDefault="0062712B" w:rsidP="0062712B">
      <w:pPr>
        <w:ind w:firstLine="360"/>
        <w:rPr>
          <w:rFonts w:eastAsia="Times New Roman" w:cs="Times New Roman"/>
          <w:color w:val="000000"/>
          <w:szCs w:val="26"/>
          <w:lang w:eastAsia="pl-PL"/>
        </w:rPr>
      </w:pPr>
      <w:r w:rsidRPr="00A77365">
        <w:rPr>
          <w:rFonts w:eastAsia="Times New Roman" w:cs="Times New Roman"/>
          <w:color w:val="000000"/>
          <w:szCs w:val="26"/>
          <w:lang w:eastAsia="pl-PL"/>
        </w:rPr>
        <w:t xml:space="preserve">W pomieszczeniach zajmowanych przez zleceniodawcę istnieje sprawna instalacja telefoniczna, energetyczna oraz okablowanie strukturalne w postaci nieekranowanego kabla (UTP) kategorii 6. Struktura sieci stworzona została w topologii gwiazdy, która obejmuje 13 przełączników warstwy drugiej, router, 3 serwery oraz 240 punktów abonenckich. Firma posiada specjalnie wydzielony pokój na pierwszym piętrze w którym umiejscowione został punkt dystrybucyjny, router oraz serwerownia, w pomieszczeniu tym znajduję się także punkt styku sieci lokalnej z siecią rozległą. Przedsiębiorstwo posiada trzy serwery z którym dwa służą do przechowywania danych firmy oraz aplikacji niezbędnych do prowadzenia działalności. Trzeci serwer zapewnia usługi WWW oraz pełni rolę serwera poczty. Wszystkie serwery są dostępne z Internetu poprzez przekierowanie portów na routerze. Oprócz sieci przewodowej istnieje także punkt dostępowy sieci </w:t>
      </w:r>
      <w:proofErr w:type="spellStart"/>
      <w:r w:rsidRPr="00A77365">
        <w:rPr>
          <w:rFonts w:eastAsia="Times New Roman" w:cs="Times New Roman"/>
          <w:color w:val="000000"/>
          <w:szCs w:val="26"/>
          <w:lang w:eastAsia="pl-PL"/>
        </w:rPr>
        <w:t>WiFi</w:t>
      </w:r>
      <w:proofErr w:type="spellEnd"/>
      <w:r w:rsidRPr="00A77365">
        <w:rPr>
          <w:rFonts w:eastAsia="Times New Roman" w:cs="Times New Roman"/>
          <w:color w:val="000000"/>
          <w:szCs w:val="26"/>
          <w:lang w:eastAsia="pl-PL"/>
        </w:rPr>
        <w:t xml:space="preserve"> znajdujący się w sali konferencyjnej zabezpieczony za pomocą szyfrowania WEP. Struktura sieci pokazana została na poniższym rysunku (rys.1) :</w:t>
      </w:r>
    </w:p>
    <w:p w:rsidR="0062712B" w:rsidRDefault="0062712B" w:rsidP="0062712B">
      <w:pPr>
        <w:ind w:firstLine="360"/>
        <w:rPr>
          <w:rFonts w:eastAsia="Times New Roman" w:cs="Times New Roman"/>
          <w:color w:val="000000"/>
          <w:szCs w:val="26"/>
          <w:lang w:eastAsia="pl-PL"/>
        </w:rPr>
      </w:pPr>
    </w:p>
    <w:p w:rsidR="0062712B" w:rsidRDefault="0062712B" w:rsidP="0062712B">
      <w:pPr>
        <w:keepNext/>
        <w:ind w:firstLine="360"/>
        <w:jc w:val="center"/>
      </w:pPr>
      <w:r w:rsidRPr="00A77365">
        <w:rPr>
          <w:rFonts w:eastAsia="Times New Roman" w:cs="Times New Roman"/>
          <w:noProof/>
          <w:color w:val="000000"/>
          <w:szCs w:val="26"/>
          <w:lang w:eastAsia="pl-PL"/>
        </w:rPr>
        <w:lastRenderedPageBreak/>
        <w:drawing>
          <wp:inline distT="0" distB="0" distL="0" distR="0" wp14:anchorId="034401E1" wp14:editId="6308CE22">
            <wp:extent cx="5734050" cy="3048000"/>
            <wp:effectExtent l="0" t="0" r="0" b="0"/>
            <wp:docPr id="2" name="Obraz 2" descr="https://lh5.googleusercontent.com/m1hCLX-niDylobrNJVujzmFGG4WtfbWLHXmMXIkRmq64vHSatdUvyRhGxv9a-Q78MiAprkpzMyclRmcTV2FcDXCFpheVzNaNuZpP8JJHv8F7PB-gEs6prPBfOboRcGJXW5rP87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1hCLX-niDylobrNJVujzmFGG4WtfbWLHXmMXIkRmq64vHSatdUvyRhGxv9a-Q78MiAprkpzMyclRmcTV2FcDXCFpheVzNaNuZpP8JJHv8F7PB-gEs6prPBfOboRcGJXW5rP87F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12B" w:rsidRPr="0062712B" w:rsidRDefault="0062712B" w:rsidP="0062712B">
      <w:pPr>
        <w:pStyle w:val="Legenda"/>
        <w:jc w:val="center"/>
        <w:rPr>
          <w:b/>
          <w:sz w:val="28"/>
          <w:szCs w:val="28"/>
        </w:rPr>
      </w:pPr>
      <w:r>
        <w:t xml:space="preserve">Rys. </w:t>
      </w:r>
      <w:r w:rsidR="00036461">
        <w:fldChar w:fldCharType="begin"/>
      </w:r>
      <w:r w:rsidR="00036461">
        <w:instrText xml:space="preserve"> SEQ Rys. \* ARABIC </w:instrText>
      </w:r>
      <w:r w:rsidR="00036461">
        <w:fldChar w:fldCharType="separate"/>
      </w:r>
      <w:r>
        <w:rPr>
          <w:noProof/>
        </w:rPr>
        <w:t>1</w:t>
      </w:r>
      <w:r w:rsidR="00036461">
        <w:rPr>
          <w:noProof/>
        </w:rPr>
        <w:fldChar w:fldCharType="end"/>
      </w:r>
      <w:r>
        <w:t xml:space="preserve"> - Struktura sieci firmy "J.M. Consulting"</w:t>
      </w:r>
    </w:p>
    <w:p w:rsidR="00DB1A35" w:rsidRDefault="00DB1A35" w:rsidP="00DB1A35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Analiza ryzyka</w:t>
      </w:r>
    </w:p>
    <w:p w:rsidR="00036461" w:rsidRPr="00036461" w:rsidRDefault="00036461" w:rsidP="00036461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 w:rsidRPr="00036461">
        <w:rPr>
          <w:b/>
          <w:sz w:val="28"/>
          <w:szCs w:val="28"/>
        </w:rPr>
        <w:t>Inwentaryzacja i identyfikacja zasobów</w:t>
      </w:r>
      <w:bookmarkStart w:id="0" w:name="_GoBack"/>
      <w:bookmarkEnd w:id="0"/>
    </w:p>
    <w:p w:rsidR="00036461" w:rsidRDefault="00036461" w:rsidP="00036461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Identyfikacja zasobów o znaczeniu kluczowym</w:t>
      </w:r>
    </w:p>
    <w:p w:rsidR="00036461" w:rsidRDefault="00036461" w:rsidP="00036461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Identyfikacja zagrożeń i podatności</w:t>
      </w:r>
    </w:p>
    <w:p w:rsidR="00036461" w:rsidRDefault="00036461" w:rsidP="00036461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Szacowanie ryzyka</w:t>
      </w:r>
    </w:p>
    <w:p w:rsidR="00036461" w:rsidRDefault="00036461" w:rsidP="00036461">
      <w:pPr>
        <w:pStyle w:val="Akapitzlist"/>
        <w:numPr>
          <w:ilvl w:val="1"/>
          <w:numId w:val="2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Opracowanie scenariuszy testów penetracyjnych</w:t>
      </w:r>
    </w:p>
    <w:p w:rsidR="00036461" w:rsidRPr="00036461" w:rsidRDefault="00036461" w:rsidP="00036461">
      <w:pPr>
        <w:rPr>
          <w:b/>
          <w:sz w:val="28"/>
          <w:szCs w:val="28"/>
        </w:rPr>
      </w:pPr>
    </w:p>
    <w:p w:rsidR="00DB1A35" w:rsidRDefault="00DB1A35" w:rsidP="00DB1A35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Określenie wymagań projektowych</w:t>
      </w:r>
    </w:p>
    <w:p w:rsidR="00DB1A35" w:rsidRDefault="00DB1A35" w:rsidP="00DB1A35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Ogólna polityka bezpieczeństwa</w:t>
      </w:r>
    </w:p>
    <w:p w:rsidR="00DB1A35" w:rsidRDefault="00DB1A35" w:rsidP="00DB1A35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Plan bezpieczeństwa teleinformatycznego</w:t>
      </w:r>
    </w:p>
    <w:p w:rsidR="005A72E7" w:rsidRPr="00036461" w:rsidRDefault="00DB1A35" w:rsidP="00036461">
      <w:pPr>
        <w:pStyle w:val="Akapitzlist"/>
        <w:numPr>
          <w:ilvl w:val="0"/>
          <w:numId w:val="29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Plany odtwarzania ciągłości działania</w:t>
      </w:r>
    </w:p>
    <w:sectPr w:rsidR="005A72E7" w:rsidRPr="00036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D29"/>
    <w:multiLevelType w:val="multilevel"/>
    <w:tmpl w:val="041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 w15:restartNumberingAfterBreak="0">
    <w:nsid w:val="0B265B39"/>
    <w:multiLevelType w:val="multilevel"/>
    <w:tmpl w:val="C2D051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60D36"/>
    <w:multiLevelType w:val="multilevel"/>
    <w:tmpl w:val="E1FE93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826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F8125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867A66"/>
    <w:multiLevelType w:val="multilevel"/>
    <w:tmpl w:val="C60C69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109F9"/>
    <w:multiLevelType w:val="multilevel"/>
    <w:tmpl w:val="90966F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5646DF"/>
    <w:multiLevelType w:val="multilevel"/>
    <w:tmpl w:val="2FE0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E5D09"/>
    <w:multiLevelType w:val="multilevel"/>
    <w:tmpl w:val="0415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9" w15:restartNumberingAfterBreak="0">
    <w:nsid w:val="34F301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887112"/>
    <w:multiLevelType w:val="multilevel"/>
    <w:tmpl w:val="92240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5D0BED"/>
    <w:multiLevelType w:val="multilevel"/>
    <w:tmpl w:val="29A8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CE39CB"/>
    <w:multiLevelType w:val="multilevel"/>
    <w:tmpl w:val="BD6C4A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93163"/>
    <w:multiLevelType w:val="multilevel"/>
    <w:tmpl w:val="D36093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42286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F40B73"/>
    <w:multiLevelType w:val="multilevel"/>
    <w:tmpl w:val="E18E8E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0F6E44"/>
    <w:multiLevelType w:val="hybridMultilevel"/>
    <w:tmpl w:val="C6D676F0"/>
    <w:lvl w:ilvl="0" w:tplc="F46674AE">
      <w:start w:val="1"/>
      <w:numFmt w:val="decimal"/>
      <w:pStyle w:val="punty"/>
      <w:lvlText w:val="%1."/>
      <w:lvlJc w:val="left"/>
      <w:pPr>
        <w:ind w:left="2484" w:hanging="360"/>
      </w:pPr>
    </w:lvl>
    <w:lvl w:ilvl="1" w:tplc="04150019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5BCE319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C4222C"/>
    <w:multiLevelType w:val="multilevel"/>
    <w:tmpl w:val="7A50CA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4C7F4E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6F5D1FDC"/>
    <w:multiLevelType w:val="hybridMultilevel"/>
    <w:tmpl w:val="BF7CA33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7F762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5254DA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5E4777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0"/>
  </w:num>
  <w:num w:numId="2">
    <w:abstractNumId w:val="18"/>
    <w:lvlOverride w:ilvl="1">
      <w:lvl w:ilvl="1">
        <w:numFmt w:val="decimal"/>
        <w:lvlText w:val="%2."/>
        <w:lvlJc w:val="left"/>
      </w:lvl>
    </w:lvlOverride>
  </w:num>
  <w:num w:numId="3">
    <w:abstractNumId w:val="7"/>
  </w:num>
  <w:num w:numId="4">
    <w:abstractNumId w:val="13"/>
    <w:lvlOverride w:ilvl="1">
      <w:lvl w:ilvl="1">
        <w:numFmt w:val="decimal"/>
        <w:lvlText w:val="%2."/>
        <w:lvlJc w:val="left"/>
      </w:lvl>
    </w:lvlOverride>
  </w:num>
  <w:num w:numId="5">
    <w:abstractNumId w:val="6"/>
    <w:lvlOverride w:ilvl="1">
      <w:lvl w:ilvl="1">
        <w:numFmt w:val="decimal"/>
        <w:lvlText w:val="%2."/>
        <w:lvlJc w:val="left"/>
      </w:lvl>
    </w:lvlOverride>
  </w:num>
  <w:num w:numId="6">
    <w:abstractNumId w:val="6"/>
    <w:lvlOverride w:ilvl="1">
      <w:lvl w:ilvl="1">
        <w:numFmt w:val="decimal"/>
        <w:lvlText w:val="%2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1">
      <w:lvl w:ilvl="1">
        <w:numFmt w:val="decimal"/>
        <w:lvlText w:val="%2."/>
        <w:lvlJc w:val="left"/>
      </w:lvl>
    </w:lvlOverride>
  </w:num>
  <w:num w:numId="9">
    <w:abstractNumId w:val="2"/>
    <w:lvlOverride w:ilvl="1">
      <w:lvl w:ilvl="1">
        <w:numFmt w:val="decimal"/>
        <w:lvlText w:val="%2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15"/>
    <w:lvlOverride w:ilvl="0">
      <w:lvl w:ilvl="0">
        <w:numFmt w:val="decimal"/>
        <w:lvlText w:val="%1."/>
        <w:lvlJc w:val="left"/>
      </w:lvl>
    </w:lvlOverride>
  </w:num>
  <w:num w:numId="16">
    <w:abstractNumId w:val="20"/>
  </w:num>
  <w:num w:numId="17">
    <w:abstractNumId w:val="11"/>
  </w:num>
  <w:num w:numId="18">
    <w:abstractNumId w:val="23"/>
  </w:num>
  <w:num w:numId="19">
    <w:abstractNumId w:val="8"/>
  </w:num>
  <w:num w:numId="20">
    <w:abstractNumId w:val="22"/>
  </w:num>
  <w:num w:numId="21">
    <w:abstractNumId w:val="17"/>
  </w:num>
  <w:num w:numId="22">
    <w:abstractNumId w:val="19"/>
  </w:num>
  <w:num w:numId="23">
    <w:abstractNumId w:val="0"/>
  </w:num>
  <w:num w:numId="24">
    <w:abstractNumId w:val="9"/>
  </w:num>
  <w:num w:numId="25">
    <w:abstractNumId w:val="4"/>
  </w:num>
  <w:num w:numId="26">
    <w:abstractNumId w:val="3"/>
  </w:num>
  <w:num w:numId="27">
    <w:abstractNumId w:val="16"/>
  </w:num>
  <w:num w:numId="28">
    <w:abstractNumId w:val="2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65"/>
    <w:rsid w:val="00036461"/>
    <w:rsid w:val="0062712B"/>
    <w:rsid w:val="006846CD"/>
    <w:rsid w:val="00A77365"/>
    <w:rsid w:val="00DB1A35"/>
    <w:rsid w:val="00DC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A3BC"/>
  <w15:chartTrackingRefBased/>
  <w15:docId w15:val="{9FE998AF-2CF2-42BE-8D9F-5FC41A88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7365"/>
    <w:pPr>
      <w:jc w:val="both"/>
    </w:pPr>
    <w:rPr>
      <w:rFonts w:ascii="Times New Roman" w:hAnsi="Times New Roman"/>
      <w:sz w:val="26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7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7736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77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7365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A77365"/>
    <w:pPr>
      <w:ind w:left="720"/>
      <w:contextualSpacing/>
    </w:pPr>
  </w:style>
  <w:style w:type="paragraph" w:customStyle="1" w:styleId="punty">
    <w:name w:val="punty"/>
    <w:basedOn w:val="Normalny"/>
    <w:next w:val="Normalny"/>
    <w:link w:val="puntyZnak"/>
    <w:qFormat/>
    <w:rsid w:val="00DB1A35"/>
    <w:pPr>
      <w:numPr>
        <w:numId w:val="27"/>
      </w:numPr>
    </w:pPr>
    <w:rPr>
      <w:b/>
      <w:sz w:val="3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77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untyZnak">
    <w:name w:val="punty Znak"/>
    <w:basedOn w:val="Domylnaczcionkaakapitu"/>
    <w:link w:val="punty"/>
    <w:rsid w:val="00DB1A35"/>
    <w:rPr>
      <w:rFonts w:ascii="Times New Roman" w:hAnsi="Times New Roman"/>
      <w:b/>
      <w:sz w:val="36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DB1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B1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62712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419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Borusiewicz</dc:creator>
  <cp:keywords/>
  <dc:description/>
  <cp:lastModifiedBy>Tomasz Borusiewicz</cp:lastModifiedBy>
  <cp:revision>2</cp:revision>
  <dcterms:created xsi:type="dcterms:W3CDTF">2019-04-07T11:26:00Z</dcterms:created>
  <dcterms:modified xsi:type="dcterms:W3CDTF">2019-04-07T12:09:00Z</dcterms:modified>
</cp:coreProperties>
</file>