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365" w:rsidRPr="00A77365" w:rsidRDefault="00A77365" w:rsidP="00A77365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pl-PL"/>
        </w:rPr>
      </w:pPr>
      <w:r w:rsidRPr="00A77365">
        <w:rPr>
          <w:rFonts w:eastAsia="Times New Roman" w:cs="Times New Roman"/>
          <w:b/>
          <w:bCs/>
          <w:color w:val="000000"/>
          <w:sz w:val="72"/>
          <w:szCs w:val="72"/>
          <w:lang w:eastAsia="pl-PL"/>
        </w:rPr>
        <w:t>Bezpieczeństwo sieci teleinformatycznych</w:t>
      </w:r>
    </w:p>
    <w:p w:rsidR="00A77365" w:rsidRPr="00A77365" w:rsidRDefault="00A77365" w:rsidP="00A77365">
      <w:pPr>
        <w:spacing w:after="0" w:line="240" w:lineRule="auto"/>
        <w:rPr>
          <w:rFonts w:eastAsia="Times New Roman" w:cs="Times New Roman"/>
          <w:sz w:val="24"/>
          <w:szCs w:val="24"/>
          <w:lang w:eastAsia="pl-PL"/>
        </w:rPr>
      </w:pPr>
    </w:p>
    <w:p w:rsidR="00A77365" w:rsidRPr="00A77365" w:rsidRDefault="00A77365" w:rsidP="00A77365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pl-PL"/>
        </w:rPr>
      </w:pPr>
      <w:r w:rsidRPr="00A77365">
        <w:rPr>
          <w:rFonts w:eastAsia="Times New Roman" w:cs="Times New Roman"/>
          <w:b/>
          <w:bCs/>
          <w:color w:val="000000"/>
          <w:sz w:val="36"/>
          <w:szCs w:val="36"/>
          <w:lang w:eastAsia="pl-PL"/>
        </w:rPr>
        <w:t>Prowadzący: Dr inż. Marcin Markowski</w:t>
      </w:r>
    </w:p>
    <w:p w:rsidR="00A77365" w:rsidRDefault="00A77365" w:rsidP="00A77365">
      <w:pPr>
        <w:spacing w:after="240" w:line="240" w:lineRule="auto"/>
        <w:rPr>
          <w:rFonts w:eastAsia="Times New Roman" w:cs="Times New Roman"/>
          <w:sz w:val="24"/>
          <w:szCs w:val="24"/>
          <w:lang w:eastAsia="pl-PL"/>
        </w:rPr>
      </w:pPr>
      <w:r w:rsidRPr="00A77365">
        <w:rPr>
          <w:rFonts w:eastAsia="Times New Roman" w:cs="Times New Roman"/>
          <w:sz w:val="24"/>
          <w:szCs w:val="24"/>
          <w:lang w:eastAsia="pl-PL"/>
        </w:rPr>
        <w:br/>
      </w:r>
      <w:r w:rsidRPr="00A77365">
        <w:rPr>
          <w:rFonts w:eastAsia="Times New Roman" w:cs="Times New Roman"/>
          <w:sz w:val="24"/>
          <w:szCs w:val="24"/>
          <w:lang w:eastAsia="pl-PL"/>
        </w:rPr>
        <w:br/>
      </w:r>
      <w:r w:rsidRPr="00A77365">
        <w:rPr>
          <w:rFonts w:eastAsia="Times New Roman" w:cs="Times New Roman"/>
          <w:sz w:val="24"/>
          <w:szCs w:val="24"/>
          <w:lang w:eastAsia="pl-PL"/>
        </w:rPr>
        <w:br/>
      </w:r>
      <w:r w:rsidRPr="00A77365">
        <w:rPr>
          <w:rFonts w:eastAsia="Times New Roman" w:cs="Times New Roman"/>
          <w:sz w:val="24"/>
          <w:szCs w:val="24"/>
          <w:lang w:eastAsia="pl-PL"/>
        </w:rPr>
        <w:br/>
      </w:r>
      <w:r w:rsidRPr="00A77365">
        <w:rPr>
          <w:rFonts w:eastAsia="Times New Roman" w:cs="Times New Roman"/>
          <w:sz w:val="24"/>
          <w:szCs w:val="24"/>
          <w:lang w:eastAsia="pl-PL"/>
        </w:rPr>
        <w:br/>
      </w:r>
      <w:r w:rsidRPr="00A77365">
        <w:rPr>
          <w:rFonts w:eastAsia="Times New Roman" w:cs="Times New Roman"/>
          <w:sz w:val="24"/>
          <w:szCs w:val="24"/>
          <w:lang w:eastAsia="pl-PL"/>
        </w:rPr>
        <w:br/>
      </w:r>
      <w:r w:rsidRPr="00A77365">
        <w:rPr>
          <w:rFonts w:eastAsia="Times New Roman" w:cs="Times New Roman"/>
          <w:sz w:val="24"/>
          <w:szCs w:val="24"/>
          <w:lang w:eastAsia="pl-PL"/>
        </w:rPr>
        <w:br/>
      </w:r>
      <w:r w:rsidRPr="00A77365">
        <w:rPr>
          <w:rFonts w:eastAsia="Times New Roman" w:cs="Times New Roman"/>
          <w:sz w:val="24"/>
          <w:szCs w:val="24"/>
          <w:lang w:eastAsia="pl-PL"/>
        </w:rPr>
        <w:br/>
      </w:r>
      <w:r w:rsidRPr="00A77365">
        <w:rPr>
          <w:rFonts w:eastAsia="Times New Roman" w:cs="Times New Roman"/>
          <w:sz w:val="24"/>
          <w:szCs w:val="24"/>
          <w:lang w:eastAsia="pl-PL"/>
        </w:rPr>
        <w:br/>
      </w:r>
      <w:r w:rsidRPr="00A77365">
        <w:rPr>
          <w:rFonts w:eastAsia="Times New Roman" w:cs="Times New Roman"/>
          <w:sz w:val="24"/>
          <w:szCs w:val="24"/>
          <w:lang w:eastAsia="pl-PL"/>
        </w:rPr>
        <w:br/>
      </w:r>
      <w:r w:rsidRPr="00A77365">
        <w:rPr>
          <w:rFonts w:eastAsia="Times New Roman" w:cs="Times New Roman"/>
          <w:sz w:val="24"/>
          <w:szCs w:val="24"/>
          <w:lang w:eastAsia="pl-PL"/>
        </w:rPr>
        <w:br/>
      </w:r>
      <w:r w:rsidRPr="00A77365">
        <w:rPr>
          <w:rFonts w:eastAsia="Times New Roman" w:cs="Times New Roman"/>
          <w:sz w:val="24"/>
          <w:szCs w:val="24"/>
          <w:lang w:eastAsia="pl-PL"/>
        </w:rPr>
        <w:br/>
      </w:r>
      <w:r w:rsidRPr="00A77365">
        <w:rPr>
          <w:rFonts w:eastAsia="Times New Roman" w:cs="Times New Roman"/>
          <w:sz w:val="24"/>
          <w:szCs w:val="24"/>
          <w:lang w:eastAsia="pl-PL"/>
        </w:rPr>
        <w:br/>
      </w:r>
      <w:r w:rsidRPr="00A77365">
        <w:rPr>
          <w:rFonts w:eastAsia="Times New Roman" w:cs="Times New Roman"/>
          <w:sz w:val="24"/>
          <w:szCs w:val="24"/>
          <w:lang w:eastAsia="pl-PL"/>
        </w:rPr>
        <w:br/>
      </w:r>
      <w:r w:rsidRPr="00A77365">
        <w:rPr>
          <w:rFonts w:eastAsia="Times New Roman" w:cs="Times New Roman"/>
          <w:sz w:val="24"/>
          <w:szCs w:val="24"/>
          <w:lang w:eastAsia="pl-PL"/>
        </w:rPr>
        <w:br/>
      </w:r>
      <w:r w:rsidRPr="00A77365">
        <w:rPr>
          <w:rFonts w:eastAsia="Times New Roman" w:cs="Times New Roman"/>
          <w:sz w:val="24"/>
          <w:szCs w:val="24"/>
          <w:lang w:eastAsia="pl-PL"/>
        </w:rPr>
        <w:br/>
      </w:r>
      <w:r w:rsidRPr="00A77365">
        <w:rPr>
          <w:rFonts w:eastAsia="Times New Roman" w:cs="Times New Roman"/>
          <w:sz w:val="24"/>
          <w:szCs w:val="24"/>
          <w:lang w:eastAsia="pl-PL"/>
        </w:rPr>
        <w:br/>
      </w:r>
      <w:r w:rsidRPr="00A77365">
        <w:rPr>
          <w:rFonts w:eastAsia="Times New Roman" w:cs="Times New Roman"/>
          <w:sz w:val="24"/>
          <w:szCs w:val="24"/>
          <w:lang w:eastAsia="pl-PL"/>
        </w:rPr>
        <w:br/>
      </w:r>
      <w:r w:rsidRPr="00A77365">
        <w:rPr>
          <w:rFonts w:eastAsia="Times New Roman" w:cs="Times New Roman"/>
          <w:sz w:val="24"/>
          <w:szCs w:val="24"/>
          <w:lang w:eastAsia="pl-PL"/>
        </w:rPr>
        <w:br/>
      </w:r>
      <w:r w:rsidRPr="00A77365">
        <w:rPr>
          <w:rFonts w:eastAsia="Times New Roman" w:cs="Times New Roman"/>
          <w:sz w:val="24"/>
          <w:szCs w:val="24"/>
          <w:lang w:eastAsia="pl-PL"/>
        </w:rPr>
        <w:br/>
      </w:r>
      <w:r w:rsidRPr="00A77365">
        <w:rPr>
          <w:rFonts w:eastAsia="Times New Roman" w:cs="Times New Roman"/>
          <w:sz w:val="24"/>
          <w:szCs w:val="24"/>
          <w:lang w:eastAsia="pl-PL"/>
        </w:rPr>
        <w:br/>
      </w:r>
      <w:r w:rsidRPr="00A77365">
        <w:rPr>
          <w:rFonts w:eastAsia="Times New Roman" w:cs="Times New Roman"/>
          <w:sz w:val="24"/>
          <w:szCs w:val="24"/>
          <w:lang w:eastAsia="pl-PL"/>
        </w:rPr>
        <w:br/>
      </w:r>
    </w:p>
    <w:p w:rsidR="00DB1A35" w:rsidRDefault="00DB1A35" w:rsidP="00A77365">
      <w:pPr>
        <w:spacing w:after="240" w:line="240" w:lineRule="auto"/>
        <w:rPr>
          <w:rFonts w:eastAsia="Times New Roman" w:cs="Times New Roman"/>
          <w:sz w:val="24"/>
          <w:szCs w:val="24"/>
          <w:lang w:eastAsia="pl-PL"/>
        </w:rPr>
      </w:pPr>
    </w:p>
    <w:p w:rsidR="00DB1A35" w:rsidRDefault="00DB1A35" w:rsidP="00A77365">
      <w:pPr>
        <w:spacing w:after="240" w:line="240" w:lineRule="auto"/>
        <w:rPr>
          <w:rFonts w:eastAsia="Times New Roman" w:cs="Times New Roman"/>
          <w:sz w:val="24"/>
          <w:szCs w:val="24"/>
          <w:lang w:eastAsia="pl-PL"/>
        </w:rPr>
      </w:pPr>
    </w:p>
    <w:p w:rsidR="00DB1A35" w:rsidRDefault="00DB1A35" w:rsidP="00A77365">
      <w:pPr>
        <w:spacing w:after="240" w:line="240" w:lineRule="auto"/>
        <w:rPr>
          <w:rFonts w:eastAsia="Times New Roman" w:cs="Times New Roman"/>
          <w:sz w:val="24"/>
          <w:szCs w:val="24"/>
          <w:lang w:eastAsia="pl-PL"/>
        </w:rPr>
      </w:pPr>
    </w:p>
    <w:p w:rsidR="00DB1A35" w:rsidRDefault="00DB1A35" w:rsidP="00A77365">
      <w:pPr>
        <w:spacing w:after="240" w:line="240" w:lineRule="auto"/>
        <w:rPr>
          <w:rFonts w:eastAsia="Times New Roman" w:cs="Times New Roman"/>
          <w:sz w:val="24"/>
          <w:szCs w:val="24"/>
          <w:lang w:eastAsia="pl-PL"/>
        </w:rPr>
      </w:pPr>
    </w:p>
    <w:p w:rsidR="00DB1A35" w:rsidRDefault="00DB1A35" w:rsidP="00A77365">
      <w:pPr>
        <w:spacing w:after="240" w:line="240" w:lineRule="auto"/>
        <w:rPr>
          <w:rFonts w:eastAsia="Times New Roman" w:cs="Times New Roman"/>
          <w:sz w:val="24"/>
          <w:szCs w:val="24"/>
          <w:lang w:eastAsia="pl-PL"/>
        </w:rPr>
      </w:pPr>
    </w:p>
    <w:p w:rsidR="00DB1A35" w:rsidRPr="00A77365" w:rsidRDefault="00DB1A35" w:rsidP="00A77365">
      <w:pPr>
        <w:spacing w:after="240" w:line="240" w:lineRule="auto"/>
        <w:rPr>
          <w:rFonts w:eastAsia="Times New Roman" w:cs="Times New Roman"/>
          <w:sz w:val="24"/>
          <w:szCs w:val="24"/>
          <w:lang w:eastAsia="pl-PL"/>
        </w:rPr>
      </w:pPr>
    </w:p>
    <w:p w:rsidR="00A77365" w:rsidRPr="00A77365" w:rsidRDefault="00A77365" w:rsidP="00A77365">
      <w:pPr>
        <w:spacing w:after="0" w:line="240" w:lineRule="auto"/>
        <w:rPr>
          <w:rFonts w:eastAsia="Times New Roman" w:cs="Times New Roman"/>
          <w:sz w:val="24"/>
          <w:szCs w:val="24"/>
          <w:lang w:eastAsia="pl-PL"/>
        </w:rPr>
      </w:pPr>
      <w:r w:rsidRPr="00A77365">
        <w:rPr>
          <w:rFonts w:eastAsia="Times New Roman" w:cs="Times New Roman"/>
          <w:b/>
          <w:bCs/>
          <w:color w:val="000000"/>
          <w:szCs w:val="26"/>
          <w:lang w:eastAsia="pl-PL"/>
        </w:rPr>
        <w:t>Wykonali:</w:t>
      </w:r>
    </w:p>
    <w:p w:rsidR="00A77365" w:rsidRPr="00A77365" w:rsidRDefault="00A77365" w:rsidP="00A77365">
      <w:pPr>
        <w:spacing w:after="0" w:line="240" w:lineRule="auto"/>
        <w:rPr>
          <w:rFonts w:eastAsia="Times New Roman" w:cs="Times New Roman"/>
          <w:sz w:val="24"/>
          <w:szCs w:val="24"/>
          <w:lang w:eastAsia="pl-PL"/>
        </w:rPr>
      </w:pPr>
      <w:r w:rsidRPr="00A77365">
        <w:rPr>
          <w:rFonts w:eastAsia="Times New Roman" w:cs="Times New Roman"/>
          <w:color w:val="000000"/>
          <w:szCs w:val="26"/>
          <w:lang w:eastAsia="pl-PL"/>
        </w:rPr>
        <w:t>Tomasz Borusiewicz, 219278</w:t>
      </w:r>
    </w:p>
    <w:p w:rsidR="00A77365" w:rsidRPr="00A77365" w:rsidRDefault="00A77365" w:rsidP="00A77365">
      <w:pPr>
        <w:spacing w:after="0" w:line="240" w:lineRule="auto"/>
        <w:rPr>
          <w:rFonts w:eastAsia="Times New Roman" w:cs="Times New Roman"/>
          <w:sz w:val="24"/>
          <w:szCs w:val="24"/>
          <w:lang w:eastAsia="pl-PL"/>
        </w:rPr>
      </w:pPr>
      <w:r w:rsidRPr="00A77365">
        <w:rPr>
          <w:rFonts w:eastAsia="Times New Roman" w:cs="Times New Roman"/>
          <w:color w:val="000000"/>
          <w:szCs w:val="26"/>
          <w:lang w:eastAsia="pl-PL"/>
        </w:rPr>
        <w:t xml:space="preserve">Bartłomiej Bednarz, </w:t>
      </w:r>
    </w:p>
    <w:p w:rsidR="00DB1A35" w:rsidRDefault="00A77365" w:rsidP="00DB1A35">
      <w:pPr>
        <w:spacing w:after="0" w:line="240" w:lineRule="auto"/>
        <w:rPr>
          <w:rFonts w:eastAsia="Times New Roman" w:cs="Times New Roman"/>
          <w:color w:val="000000"/>
          <w:szCs w:val="26"/>
          <w:lang w:eastAsia="pl-PL"/>
        </w:rPr>
      </w:pPr>
      <w:r w:rsidRPr="00A77365">
        <w:rPr>
          <w:rFonts w:eastAsia="Times New Roman" w:cs="Times New Roman"/>
          <w:color w:val="000000"/>
          <w:szCs w:val="26"/>
          <w:lang w:eastAsia="pl-PL"/>
        </w:rPr>
        <w:t>Michał Polek,</w:t>
      </w:r>
    </w:p>
    <w:p w:rsidR="00DB1A35" w:rsidRDefault="00DB1A35" w:rsidP="00DB1A35">
      <w:pPr>
        <w:spacing w:after="0" w:line="240" w:lineRule="auto"/>
        <w:rPr>
          <w:rFonts w:eastAsia="Times New Roman" w:cs="Times New Roman"/>
          <w:color w:val="000000"/>
          <w:szCs w:val="26"/>
          <w:lang w:eastAsia="pl-PL"/>
        </w:rPr>
      </w:pPr>
    </w:p>
    <w:p w:rsidR="00DB1A35" w:rsidRPr="00DB1A35" w:rsidRDefault="00DB1A35" w:rsidP="00DB1A35">
      <w:pPr>
        <w:spacing w:after="0" w:line="240" w:lineRule="auto"/>
        <w:rPr>
          <w:rFonts w:eastAsia="Times New Roman" w:cs="Times New Roman"/>
          <w:color w:val="000000"/>
          <w:szCs w:val="26"/>
          <w:lang w:eastAsia="pl-PL"/>
        </w:rPr>
      </w:pPr>
    </w:p>
    <w:p w:rsidR="00DB1A35" w:rsidRDefault="00DB1A35" w:rsidP="00DB1A35">
      <w:pPr>
        <w:pStyle w:val="Akapitzlist"/>
        <w:numPr>
          <w:ilvl w:val="0"/>
          <w:numId w:val="29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Wstęp</w:t>
      </w:r>
    </w:p>
    <w:p w:rsidR="00DB1A35" w:rsidRDefault="00DB1A35" w:rsidP="00DB1A35">
      <w:pPr>
        <w:pStyle w:val="Akapitzlist"/>
        <w:numPr>
          <w:ilvl w:val="1"/>
          <w:numId w:val="29"/>
        </w:numPr>
        <w:rPr>
          <w:b/>
          <w:sz w:val="28"/>
          <w:szCs w:val="28"/>
        </w:rPr>
      </w:pPr>
      <w:r w:rsidRPr="00DB1A35">
        <w:rPr>
          <w:b/>
          <w:sz w:val="28"/>
          <w:szCs w:val="28"/>
        </w:rPr>
        <w:t>Cel projektu</w:t>
      </w:r>
    </w:p>
    <w:p w:rsidR="0062712B" w:rsidRPr="0062712B" w:rsidRDefault="0062712B" w:rsidP="0062712B">
      <w:pPr>
        <w:ind w:firstLine="360"/>
        <w:rPr>
          <w:sz w:val="24"/>
          <w:szCs w:val="24"/>
        </w:rPr>
      </w:pPr>
      <w:r w:rsidRPr="00A77365">
        <w:rPr>
          <w:rFonts w:eastAsia="Times New Roman" w:cs="Times New Roman"/>
          <w:color w:val="000000"/>
          <w:sz w:val="24"/>
          <w:szCs w:val="24"/>
          <w:lang w:eastAsia="pl-PL"/>
        </w:rPr>
        <w:t xml:space="preserve">Celem projektu jest opracowanie kompleksowej dokumentacji bezpieczeństwa teleinformatycznego dla firmy </w:t>
      </w:r>
      <w:r w:rsidRPr="00A77365">
        <w:rPr>
          <w:rFonts w:eastAsia="Times New Roman" w:cs="Times New Roman"/>
          <w:sz w:val="24"/>
          <w:szCs w:val="24"/>
          <w:lang w:eastAsia="pl-PL"/>
        </w:rPr>
        <w:t>“J.M. Consulting</w:t>
      </w:r>
      <w:r w:rsidRPr="00A77365">
        <w:rPr>
          <w:rFonts w:eastAsia="Times New Roman" w:cs="Times New Roman"/>
          <w:color w:val="000000"/>
          <w:sz w:val="24"/>
          <w:szCs w:val="24"/>
          <w:lang w:eastAsia="pl-PL"/>
        </w:rPr>
        <w:t>” zwanego dalej zleceniodawcą. W skład dokumentacji wchodzić będzie: analiza ryzyka, określenie wymagań projektowych, ogólna polityka bezpieczeństwa, plan bezpieczeństwa teleinformatycznego oraz plany odtwarzania ciągłości działania.</w:t>
      </w:r>
    </w:p>
    <w:p w:rsidR="00DB1A35" w:rsidRDefault="00DB1A35" w:rsidP="00DB1A35">
      <w:pPr>
        <w:pStyle w:val="Akapitzlist"/>
        <w:numPr>
          <w:ilvl w:val="1"/>
          <w:numId w:val="29"/>
        </w:numPr>
        <w:rPr>
          <w:b/>
          <w:sz w:val="28"/>
          <w:szCs w:val="28"/>
        </w:rPr>
      </w:pPr>
      <w:r w:rsidRPr="00DB1A35">
        <w:rPr>
          <w:b/>
          <w:sz w:val="28"/>
          <w:szCs w:val="28"/>
        </w:rPr>
        <w:t>Charakterystyka firmy</w:t>
      </w:r>
    </w:p>
    <w:p w:rsidR="0062712B" w:rsidRPr="00A77365" w:rsidRDefault="0062712B" w:rsidP="0062712B">
      <w:pPr>
        <w:spacing w:after="0" w:line="240" w:lineRule="auto"/>
        <w:ind w:firstLine="360"/>
        <w:rPr>
          <w:rFonts w:eastAsia="Times New Roman" w:cs="Times New Roman"/>
          <w:sz w:val="24"/>
          <w:szCs w:val="24"/>
          <w:lang w:eastAsia="pl-PL"/>
        </w:rPr>
      </w:pPr>
      <w:r w:rsidRPr="00A77365">
        <w:rPr>
          <w:rFonts w:eastAsia="Times New Roman" w:cs="Times New Roman"/>
          <w:color w:val="000000"/>
          <w:sz w:val="24"/>
          <w:szCs w:val="24"/>
          <w:lang w:eastAsia="pl-PL"/>
        </w:rPr>
        <w:t>Poniżej opisana została charakterystyka firma dla której wykonana zostanie dokumentacja bezpieczeństwa teleinformatycznego</w:t>
      </w:r>
      <w:r w:rsidRPr="00A77365">
        <w:rPr>
          <w:rFonts w:eastAsia="Times New Roman" w:cs="Times New Roman"/>
          <w:color w:val="000000"/>
          <w:szCs w:val="26"/>
          <w:lang w:eastAsia="pl-PL"/>
        </w:rPr>
        <w:t>.</w:t>
      </w:r>
    </w:p>
    <w:p w:rsidR="0062712B" w:rsidRPr="00A77365" w:rsidRDefault="0062712B" w:rsidP="0062712B">
      <w:pPr>
        <w:spacing w:after="0" w:line="240" w:lineRule="auto"/>
        <w:rPr>
          <w:rFonts w:eastAsia="Times New Roman" w:cs="Times New Roman"/>
          <w:sz w:val="24"/>
          <w:szCs w:val="24"/>
          <w:lang w:eastAsia="pl-PL"/>
        </w:rPr>
      </w:pPr>
    </w:p>
    <w:p w:rsidR="0062712B" w:rsidRPr="00A77365" w:rsidRDefault="0062712B" w:rsidP="0062712B">
      <w:pPr>
        <w:spacing w:after="0" w:line="240" w:lineRule="auto"/>
        <w:rPr>
          <w:rFonts w:eastAsia="Times New Roman" w:cs="Times New Roman"/>
          <w:sz w:val="24"/>
          <w:szCs w:val="24"/>
          <w:lang w:eastAsia="pl-PL"/>
        </w:rPr>
      </w:pPr>
      <w:r w:rsidRPr="00A77365">
        <w:rPr>
          <w:rFonts w:eastAsia="Times New Roman" w:cs="Times New Roman"/>
          <w:color w:val="000000"/>
          <w:szCs w:val="26"/>
          <w:lang w:eastAsia="pl-PL"/>
        </w:rPr>
        <w:t xml:space="preserve">    </w:t>
      </w:r>
      <w:r w:rsidRPr="00A77365">
        <w:rPr>
          <w:rFonts w:eastAsia="Times New Roman" w:cs="Times New Roman"/>
          <w:b/>
          <w:bCs/>
          <w:color w:val="000000"/>
          <w:szCs w:val="26"/>
          <w:lang w:eastAsia="pl-PL"/>
        </w:rPr>
        <w:t>Profil działalności instytucji</w:t>
      </w:r>
    </w:p>
    <w:p w:rsidR="0062712B" w:rsidRPr="00A77365" w:rsidRDefault="0062712B" w:rsidP="0062712B">
      <w:pPr>
        <w:spacing w:after="0" w:line="240" w:lineRule="auto"/>
        <w:rPr>
          <w:rFonts w:eastAsia="Times New Roman" w:cs="Times New Roman"/>
          <w:sz w:val="24"/>
          <w:szCs w:val="24"/>
          <w:lang w:eastAsia="pl-PL"/>
        </w:rPr>
      </w:pPr>
      <w:r w:rsidRPr="00A77365">
        <w:rPr>
          <w:rFonts w:eastAsia="Times New Roman" w:cs="Times New Roman"/>
          <w:b/>
          <w:bCs/>
          <w:color w:val="000000"/>
          <w:szCs w:val="26"/>
          <w:lang w:eastAsia="pl-PL"/>
        </w:rPr>
        <w:t xml:space="preserve">    </w:t>
      </w:r>
    </w:p>
    <w:p w:rsidR="0062712B" w:rsidRPr="00A77365" w:rsidRDefault="0062712B" w:rsidP="0062712B">
      <w:pPr>
        <w:spacing w:after="0" w:line="240" w:lineRule="auto"/>
        <w:rPr>
          <w:rFonts w:eastAsia="Times New Roman" w:cs="Times New Roman"/>
          <w:sz w:val="24"/>
          <w:szCs w:val="24"/>
          <w:lang w:eastAsia="pl-PL"/>
        </w:rPr>
      </w:pPr>
      <w:r w:rsidRPr="00A77365">
        <w:rPr>
          <w:rFonts w:eastAsia="Times New Roman" w:cs="Times New Roman"/>
          <w:b/>
          <w:bCs/>
          <w:color w:val="000000"/>
          <w:szCs w:val="26"/>
          <w:lang w:eastAsia="pl-PL"/>
        </w:rPr>
        <w:t xml:space="preserve">    </w:t>
      </w:r>
      <w:r w:rsidRPr="00A77365">
        <w:rPr>
          <w:rFonts w:eastAsia="Times New Roman" w:cs="Times New Roman"/>
          <w:color w:val="000000"/>
          <w:sz w:val="24"/>
          <w:szCs w:val="24"/>
          <w:lang w:eastAsia="pl-PL"/>
        </w:rPr>
        <w:t xml:space="preserve">Przedsiębiorstwo mieści się przy ulicy </w:t>
      </w:r>
      <w:r w:rsidRPr="00A77365">
        <w:rPr>
          <w:rFonts w:eastAsia="Times New Roman" w:cs="Times New Roman"/>
          <w:sz w:val="24"/>
          <w:szCs w:val="24"/>
          <w:lang w:eastAsia="pl-PL"/>
        </w:rPr>
        <w:t>Polnej 2</w:t>
      </w:r>
      <w:r w:rsidRPr="00A77365">
        <w:rPr>
          <w:rFonts w:eastAsia="Times New Roman" w:cs="Times New Roman"/>
          <w:color w:val="000000"/>
          <w:sz w:val="24"/>
          <w:szCs w:val="24"/>
          <w:lang w:eastAsia="pl-PL"/>
        </w:rPr>
        <w:t xml:space="preserve"> we Wrocławiu w budynku “Red Tower”. Zajmuje kolejno pierwsze, drugie, trzecie oraz czwarte piętro. Biuro prawne “J.M. Consulting” zajmuje się kompleksową obsługą klientów z zakresu dziedzin prawnych. Zakres oferowanych usług obejmuje między innymi:</w:t>
      </w:r>
    </w:p>
    <w:p w:rsidR="0062712B" w:rsidRPr="00A77365" w:rsidRDefault="0062712B" w:rsidP="0062712B">
      <w:pPr>
        <w:spacing w:after="0" w:line="240" w:lineRule="auto"/>
        <w:rPr>
          <w:rFonts w:eastAsia="Times New Roman" w:cs="Times New Roman"/>
          <w:sz w:val="24"/>
          <w:szCs w:val="24"/>
          <w:lang w:eastAsia="pl-PL"/>
        </w:rPr>
      </w:pPr>
    </w:p>
    <w:p w:rsidR="0062712B" w:rsidRPr="00A77365" w:rsidRDefault="0062712B" w:rsidP="0062712B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4"/>
          <w:szCs w:val="24"/>
          <w:lang w:eastAsia="pl-PL"/>
        </w:rPr>
      </w:pPr>
      <w:r w:rsidRPr="00A77365">
        <w:rPr>
          <w:rFonts w:eastAsia="Times New Roman" w:cs="Times New Roman"/>
          <w:color w:val="000000"/>
          <w:sz w:val="24"/>
          <w:szCs w:val="24"/>
          <w:lang w:eastAsia="pl-PL"/>
        </w:rPr>
        <w:t>Doradztwo prawne,</w:t>
      </w:r>
    </w:p>
    <w:p w:rsidR="0062712B" w:rsidRPr="00A77365" w:rsidRDefault="0062712B" w:rsidP="0062712B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4"/>
          <w:szCs w:val="24"/>
          <w:lang w:eastAsia="pl-PL"/>
        </w:rPr>
      </w:pPr>
      <w:r w:rsidRPr="00A77365">
        <w:rPr>
          <w:rFonts w:eastAsia="Times New Roman" w:cs="Times New Roman"/>
          <w:color w:val="000000"/>
          <w:sz w:val="24"/>
          <w:szCs w:val="24"/>
          <w:lang w:eastAsia="pl-PL"/>
        </w:rPr>
        <w:t>Konsultacje i doradztwo, opiniowanie wniosków,</w:t>
      </w:r>
    </w:p>
    <w:p w:rsidR="0062712B" w:rsidRPr="00A77365" w:rsidRDefault="0062712B" w:rsidP="0062712B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4"/>
          <w:szCs w:val="24"/>
          <w:lang w:eastAsia="pl-PL"/>
        </w:rPr>
      </w:pPr>
      <w:r w:rsidRPr="00A77365">
        <w:rPr>
          <w:rFonts w:eastAsia="Times New Roman" w:cs="Times New Roman"/>
          <w:color w:val="000000"/>
          <w:sz w:val="24"/>
          <w:szCs w:val="24"/>
          <w:lang w:eastAsia="pl-PL"/>
        </w:rPr>
        <w:t>Przygotowywanie wniosków o dofinansowania lub preferencyjne pożyczki dla osób zamierzających założyć własną działalność gospodarczą,</w:t>
      </w:r>
    </w:p>
    <w:p w:rsidR="0062712B" w:rsidRPr="00A77365" w:rsidRDefault="0062712B" w:rsidP="0062712B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4"/>
          <w:szCs w:val="24"/>
          <w:lang w:eastAsia="pl-PL"/>
        </w:rPr>
      </w:pPr>
      <w:r w:rsidRPr="00A77365">
        <w:rPr>
          <w:rFonts w:eastAsia="Times New Roman" w:cs="Times New Roman"/>
          <w:color w:val="000000"/>
          <w:sz w:val="24"/>
          <w:szCs w:val="24"/>
          <w:lang w:eastAsia="pl-PL"/>
        </w:rPr>
        <w:t>Opracowanie wniosków o dofinansowanie ze środków unijnych i krajowych,</w:t>
      </w:r>
    </w:p>
    <w:p w:rsidR="0062712B" w:rsidRPr="00A77365" w:rsidRDefault="0062712B" w:rsidP="0062712B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4"/>
          <w:szCs w:val="24"/>
          <w:lang w:eastAsia="pl-PL"/>
        </w:rPr>
      </w:pPr>
      <w:r w:rsidRPr="00A77365">
        <w:rPr>
          <w:rFonts w:eastAsia="Times New Roman" w:cs="Times New Roman"/>
          <w:color w:val="000000"/>
          <w:sz w:val="24"/>
          <w:szCs w:val="24"/>
          <w:lang w:eastAsia="pl-PL"/>
        </w:rPr>
        <w:t>Zarządzanie projektami,</w:t>
      </w:r>
    </w:p>
    <w:p w:rsidR="0062712B" w:rsidRDefault="0062712B" w:rsidP="0062712B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Times New Roman"/>
          <w:color w:val="000000"/>
          <w:szCs w:val="26"/>
          <w:lang w:eastAsia="pl-PL"/>
        </w:rPr>
      </w:pPr>
      <w:r w:rsidRPr="00A77365">
        <w:rPr>
          <w:rFonts w:eastAsia="Times New Roman" w:cs="Times New Roman"/>
          <w:color w:val="000000"/>
          <w:sz w:val="24"/>
          <w:szCs w:val="24"/>
          <w:lang w:eastAsia="pl-PL"/>
        </w:rPr>
        <w:t>Szkolenia z zakresu prawa pracy, prawa cywilnego i prawa administracyjnego</w:t>
      </w:r>
      <w:r w:rsidRPr="00A77365">
        <w:rPr>
          <w:rFonts w:eastAsia="Times New Roman" w:cs="Times New Roman"/>
          <w:color w:val="000000"/>
          <w:szCs w:val="26"/>
          <w:lang w:eastAsia="pl-PL"/>
        </w:rPr>
        <w:t>.</w:t>
      </w:r>
    </w:p>
    <w:p w:rsidR="0062712B" w:rsidRPr="0062712B" w:rsidRDefault="0062712B" w:rsidP="0062712B">
      <w:pPr>
        <w:rPr>
          <w:b/>
          <w:sz w:val="28"/>
          <w:szCs w:val="28"/>
        </w:rPr>
      </w:pPr>
    </w:p>
    <w:p w:rsidR="00DB1A35" w:rsidRDefault="00DB1A35" w:rsidP="00DB1A35">
      <w:pPr>
        <w:pStyle w:val="Akapitzlist"/>
        <w:numPr>
          <w:ilvl w:val="1"/>
          <w:numId w:val="29"/>
        </w:numPr>
        <w:rPr>
          <w:b/>
          <w:sz w:val="28"/>
          <w:szCs w:val="28"/>
        </w:rPr>
      </w:pPr>
      <w:r w:rsidRPr="00DB1A35">
        <w:rPr>
          <w:b/>
          <w:sz w:val="28"/>
          <w:szCs w:val="28"/>
        </w:rPr>
        <w:t>Zasoby informatyczne i struktura sieci</w:t>
      </w:r>
    </w:p>
    <w:p w:rsidR="0062712B" w:rsidRDefault="0062712B" w:rsidP="0062712B">
      <w:pPr>
        <w:ind w:firstLine="360"/>
        <w:rPr>
          <w:rFonts w:eastAsia="Times New Roman" w:cs="Times New Roman"/>
          <w:color w:val="000000"/>
          <w:szCs w:val="26"/>
          <w:lang w:eastAsia="pl-PL"/>
        </w:rPr>
      </w:pPr>
      <w:r w:rsidRPr="00A77365">
        <w:rPr>
          <w:rFonts w:eastAsia="Times New Roman" w:cs="Times New Roman"/>
          <w:color w:val="000000"/>
          <w:szCs w:val="26"/>
          <w:lang w:eastAsia="pl-PL"/>
        </w:rPr>
        <w:t xml:space="preserve">W pomieszczeniach zajmowanych przez zleceniodawcę istnieje sprawna instalacja telefoniczna, energetyczna oraz okablowanie strukturalne w postaci nieekranowanego kabla (UTP) kategorii 6. Struktura sieci stworzona została w topologii gwiazdy, która obejmuje 13 przełączników warstwy drugiej, router, 3 serwery oraz 240 punktów abonenckich. Firma posiada specjalnie wydzielony pokój na pierwszym piętrze w którym umiejscowione został punkt dystrybucyjny, router oraz serwerownia, w pomieszczeniu tym znajduję się także punkt styku sieci lokalnej z siecią rozległą. Przedsiębiorstwo posiada trzy serwery z którym dwa służą do przechowywania danych firmy oraz aplikacji niezbędnych do prowadzenia działalności. Trzeci serwer zapewnia usługi WWW oraz pełni rolę serwera poczty. Wszystkie serwery są dostępne z Internetu poprzez przekierowanie portów na routerze. Oprócz sieci przewodowej istnieje także punkt dostępowy sieci </w:t>
      </w:r>
      <w:proofErr w:type="spellStart"/>
      <w:r w:rsidRPr="00A77365">
        <w:rPr>
          <w:rFonts w:eastAsia="Times New Roman" w:cs="Times New Roman"/>
          <w:color w:val="000000"/>
          <w:szCs w:val="26"/>
          <w:lang w:eastAsia="pl-PL"/>
        </w:rPr>
        <w:t>WiFi</w:t>
      </w:r>
      <w:proofErr w:type="spellEnd"/>
      <w:r w:rsidRPr="00A77365">
        <w:rPr>
          <w:rFonts w:eastAsia="Times New Roman" w:cs="Times New Roman"/>
          <w:color w:val="000000"/>
          <w:szCs w:val="26"/>
          <w:lang w:eastAsia="pl-PL"/>
        </w:rPr>
        <w:t xml:space="preserve"> znajdujący się w sali konferencyjnej zabezpieczony za pomocą szyfrowania WEP. Struktura sieci pokazana została na poniższym rysunku (rys.1) :</w:t>
      </w:r>
    </w:p>
    <w:p w:rsidR="0062712B" w:rsidRDefault="0062712B" w:rsidP="0062712B">
      <w:pPr>
        <w:ind w:firstLine="360"/>
        <w:rPr>
          <w:rFonts w:eastAsia="Times New Roman" w:cs="Times New Roman"/>
          <w:color w:val="000000"/>
          <w:szCs w:val="26"/>
          <w:lang w:eastAsia="pl-PL"/>
        </w:rPr>
      </w:pPr>
    </w:p>
    <w:p w:rsidR="0062712B" w:rsidRDefault="0062712B" w:rsidP="0062712B">
      <w:pPr>
        <w:keepNext/>
        <w:ind w:firstLine="360"/>
        <w:jc w:val="center"/>
      </w:pPr>
      <w:r w:rsidRPr="00A77365">
        <w:rPr>
          <w:rFonts w:eastAsia="Times New Roman" w:cs="Times New Roman"/>
          <w:noProof/>
          <w:color w:val="000000"/>
          <w:szCs w:val="26"/>
          <w:lang w:eastAsia="pl-PL"/>
        </w:rPr>
        <w:lastRenderedPageBreak/>
        <w:drawing>
          <wp:inline distT="0" distB="0" distL="0" distR="0" wp14:anchorId="034401E1" wp14:editId="6308CE22">
            <wp:extent cx="5734050" cy="3048000"/>
            <wp:effectExtent l="0" t="0" r="0" b="0"/>
            <wp:docPr id="2" name="Obraz 2" descr="https://lh5.googleusercontent.com/m1hCLX-niDylobrNJVujzmFGG4WtfbWLHXmMXIkRmq64vHSatdUvyRhGxv9a-Q78MiAprkpzMyclRmcTV2FcDXCFpheVzNaNuZpP8JJHv8F7PB-gEs6prPBfOboRcGJXW5rP87F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m1hCLX-niDylobrNJVujzmFGG4WtfbWLHXmMXIkRmq64vHSatdUvyRhGxv9a-Q78MiAprkpzMyclRmcTV2FcDXCFpheVzNaNuZpP8JJHv8F7PB-gEs6prPBfOboRcGJXW5rP87F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12B" w:rsidRPr="0062712B" w:rsidRDefault="0062712B" w:rsidP="0062712B">
      <w:pPr>
        <w:pStyle w:val="Legenda"/>
        <w:jc w:val="center"/>
        <w:rPr>
          <w:b/>
          <w:sz w:val="28"/>
          <w:szCs w:val="28"/>
        </w:rPr>
      </w:pPr>
      <w:r>
        <w:t xml:space="preserve">Rys. </w:t>
      </w:r>
      <w:fldSimple w:instr=" SEQ Rys. \* ARABIC ">
        <w:r>
          <w:rPr>
            <w:noProof/>
          </w:rPr>
          <w:t>1</w:t>
        </w:r>
      </w:fldSimple>
      <w:r>
        <w:t xml:space="preserve"> - Struktura sieci firmy "J.M. Consulting"</w:t>
      </w:r>
    </w:p>
    <w:p w:rsidR="00DB1A35" w:rsidRDefault="00DB1A35" w:rsidP="00DB1A35">
      <w:pPr>
        <w:pStyle w:val="Akapitzlist"/>
        <w:numPr>
          <w:ilvl w:val="0"/>
          <w:numId w:val="29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Analiza ryzyka</w:t>
      </w:r>
    </w:p>
    <w:p w:rsidR="00036461" w:rsidRDefault="00036461" w:rsidP="00036461">
      <w:pPr>
        <w:pStyle w:val="Akapitzlist"/>
        <w:numPr>
          <w:ilvl w:val="1"/>
          <w:numId w:val="29"/>
        </w:numPr>
        <w:rPr>
          <w:b/>
          <w:sz w:val="28"/>
          <w:szCs w:val="28"/>
        </w:rPr>
      </w:pPr>
      <w:r w:rsidRPr="00036461">
        <w:rPr>
          <w:b/>
          <w:sz w:val="28"/>
          <w:szCs w:val="28"/>
        </w:rPr>
        <w:t>Inwentaryzacja i identyfikacja zasobów</w:t>
      </w:r>
    </w:p>
    <w:p w:rsidR="00F55974" w:rsidRPr="00F55974" w:rsidRDefault="00F55974" w:rsidP="00F55974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</w:t>
      </w:r>
      <w:bookmarkStart w:id="0" w:name="_GoBack"/>
      <w:bookmarkEnd w:id="0"/>
    </w:p>
    <w:p w:rsidR="00036461" w:rsidRDefault="00036461" w:rsidP="00036461">
      <w:pPr>
        <w:pStyle w:val="Akapitzlist"/>
        <w:numPr>
          <w:ilvl w:val="1"/>
          <w:numId w:val="2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Identyfikacja zasobów o znaczeniu kluczowym</w:t>
      </w:r>
    </w:p>
    <w:p w:rsidR="00036461" w:rsidRDefault="00036461" w:rsidP="00036461">
      <w:pPr>
        <w:pStyle w:val="Akapitzlist"/>
        <w:numPr>
          <w:ilvl w:val="1"/>
          <w:numId w:val="2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Identyfikacja zagrożeń i podatności</w:t>
      </w:r>
    </w:p>
    <w:p w:rsidR="00036461" w:rsidRDefault="00036461" w:rsidP="00036461">
      <w:pPr>
        <w:pStyle w:val="Akapitzlist"/>
        <w:numPr>
          <w:ilvl w:val="1"/>
          <w:numId w:val="2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Szacowanie ryzyka</w:t>
      </w:r>
    </w:p>
    <w:p w:rsidR="00036461" w:rsidRDefault="00036461" w:rsidP="00036461">
      <w:pPr>
        <w:pStyle w:val="Akapitzlist"/>
        <w:numPr>
          <w:ilvl w:val="1"/>
          <w:numId w:val="2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Opracowanie scenariuszy testów penetracyjnych</w:t>
      </w:r>
    </w:p>
    <w:p w:rsidR="00036461" w:rsidRPr="00036461" w:rsidRDefault="00036461" w:rsidP="00036461">
      <w:pPr>
        <w:rPr>
          <w:b/>
          <w:sz w:val="28"/>
          <w:szCs w:val="28"/>
        </w:rPr>
      </w:pPr>
    </w:p>
    <w:p w:rsidR="00DB1A35" w:rsidRDefault="00DB1A35" w:rsidP="00DB1A35">
      <w:pPr>
        <w:pStyle w:val="Akapitzlist"/>
        <w:numPr>
          <w:ilvl w:val="0"/>
          <w:numId w:val="29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Określenie wymagań projektowych</w:t>
      </w:r>
    </w:p>
    <w:p w:rsidR="00DB1A35" w:rsidRDefault="00DB1A35" w:rsidP="00DB1A35">
      <w:pPr>
        <w:pStyle w:val="Akapitzlist"/>
        <w:numPr>
          <w:ilvl w:val="0"/>
          <w:numId w:val="29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Ogólna polityka bezpieczeństwa</w:t>
      </w:r>
    </w:p>
    <w:p w:rsidR="00DB1A35" w:rsidRDefault="00DB1A35" w:rsidP="00DB1A35">
      <w:pPr>
        <w:pStyle w:val="Akapitzlist"/>
        <w:numPr>
          <w:ilvl w:val="0"/>
          <w:numId w:val="29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Plan bezpieczeństwa teleinformatycznego</w:t>
      </w:r>
    </w:p>
    <w:p w:rsidR="005A72E7" w:rsidRPr="00036461" w:rsidRDefault="00DB1A35" w:rsidP="00036461">
      <w:pPr>
        <w:pStyle w:val="Akapitzlist"/>
        <w:numPr>
          <w:ilvl w:val="0"/>
          <w:numId w:val="29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Plany odtwarzania ciągłości działania</w:t>
      </w:r>
    </w:p>
    <w:sectPr w:rsidR="005A72E7" w:rsidRPr="000364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95D29"/>
    <w:multiLevelType w:val="multilevel"/>
    <w:tmpl w:val="0415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1" w15:restartNumberingAfterBreak="0">
    <w:nsid w:val="0B265B39"/>
    <w:multiLevelType w:val="multilevel"/>
    <w:tmpl w:val="C2D051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060D36"/>
    <w:multiLevelType w:val="multilevel"/>
    <w:tmpl w:val="E1FE93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B8265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0F8125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3867A66"/>
    <w:multiLevelType w:val="multilevel"/>
    <w:tmpl w:val="C60C69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9109F9"/>
    <w:multiLevelType w:val="multilevel"/>
    <w:tmpl w:val="90966F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5646DF"/>
    <w:multiLevelType w:val="multilevel"/>
    <w:tmpl w:val="2FE03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4E5D09"/>
    <w:multiLevelType w:val="multilevel"/>
    <w:tmpl w:val="0415001F"/>
    <w:lvl w:ilvl="0">
      <w:start w:val="1"/>
      <w:numFmt w:val="decimal"/>
      <w:lvlText w:val="%1."/>
      <w:lvlJc w:val="left"/>
      <w:pPr>
        <w:ind w:left="2484" w:hanging="360"/>
      </w:pPr>
    </w:lvl>
    <w:lvl w:ilvl="1">
      <w:start w:val="1"/>
      <w:numFmt w:val="decimal"/>
      <w:lvlText w:val="%1.%2."/>
      <w:lvlJc w:val="left"/>
      <w:pPr>
        <w:ind w:left="2916" w:hanging="432"/>
      </w:pPr>
    </w:lvl>
    <w:lvl w:ilvl="2">
      <w:start w:val="1"/>
      <w:numFmt w:val="decimal"/>
      <w:lvlText w:val="%1.%2.%3."/>
      <w:lvlJc w:val="left"/>
      <w:pPr>
        <w:ind w:left="3348" w:hanging="504"/>
      </w:pPr>
    </w:lvl>
    <w:lvl w:ilvl="3">
      <w:start w:val="1"/>
      <w:numFmt w:val="decimal"/>
      <w:lvlText w:val="%1.%2.%3.%4."/>
      <w:lvlJc w:val="left"/>
      <w:pPr>
        <w:ind w:left="3852" w:hanging="648"/>
      </w:pPr>
    </w:lvl>
    <w:lvl w:ilvl="4">
      <w:start w:val="1"/>
      <w:numFmt w:val="decimal"/>
      <w:lvlText w:val="%1.%2.%3.%4.%5."/>
      <w:lvlJc w:val="left"/>
      <w:pPr>
        <w:ind w:left="4356" w:hanging="792"/>
      </w:pPr>
    </w:lvl>
    <w:lvl w:ilvl="5">
      <w:start w:val="1"/>
      <w:numFmt w:val="decimal"/>
      <w:lvlText w:val="%1.%2.%3.%4.%5.%6."/>
      <w:lvlJc w:val="left"/>
      <w:pPr>
        <w:ind w:left="4860" w:hanging="936"/>
      </w:pPr>
    </w:lvl>
    <w:lvl w:ilvl="6">
      <w:start w:val="1"/>
      <w:numFmt w:val="decimal"/>
      <w:lvlText w:val="%1.%2.%3.%4.%5.%6.%7."/>
      <w:lvlJc w:val="left"/>
      <w:pPr>
        <w:ind w:left="5364" w:hanging="1080"/>
      </w:pPr>
    </w:lvl>
    <w:lvl w:ilvl="7">
      <w:start w:val="1"/>
      <w:numFmt w:val="decimal"/>
      <w:lvlText w:val="%1.%2.%3.%4.%5.%6.%7.%8."/>
      <w:lvlJc w:val="left"/>
      <w:pPr>
        <w:ind w:left="5868" w:hanging="1224"/>
      </w:pPr>
    </w:lvl>
    <w:lvl w:ilvl="8">
      <w:start w:val="1"/>
      <w:numFmt w:val="decimal"/>
      <w:lvlText w:val="%1.%2.%3.%4.%5.%6.%7.%8.%9."/>
      <w:lvlJc w:val="left"/>
      <w:pPr>
        <w:ind w:left="6444" w:hanging="1440"/>
      </w:pPr>
    </w:lvl>
  </w:abstractNum>
  <w:abstractNum w:abstractNumId="9" w15:restartNumberingAfterBreak="0">
    <w:nsid w:val="34F3015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5887112"/>
    <w:multiLevelType w:val="multilevel"/>
    <w:tmpl w:val="922408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F5D0BED"/>
    <w:multiLevelType w:val="multilevel"/>
    <w:tmpl w:val="29A8A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CE39CB"/>
    <w:multiLevelType w:val="multilevel"/>
    <w:tmpl w:val="BD6C4A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793163"/>
    <w:multiLevelType w:val="multilevel"/>
    <w:tmpl w:val="D36093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42286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6F40B73"/>
    <w:multiLevelType w:val="multilevel"/>
    <w:tmpl w:val="E18E8EF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0F6E44"/>
    <w:multiLevelType w:val="hybridMultilevel"/>
    <w:tmpl w:val="C6D676F0"/>
    <w:lvl w:ilvl="0" w:tplc="F46674AE">
      <w:start w:val="1"/>
      <w:numFmt w:val="decimal"/>
      <w:pStyle w:val="punty"/>
      <w:lvlText w:val="%1."/>
      <w:lvlJc w:val="left"/>
      <w:pPr>
        <w:ind w:left="2484" w:hanging="360"/>
      </w:pPr>
    </w:lvl>
    <w:lvl w:ilvl="1" w:tplc="04150019">
      <w:start w:val="1"/>
      <w:numFmt w:val="lowerLetter"/>
      <w:lvlText w:val="%2."/>
      <w:lvlJc w:val="left"/>
      <w:pPr>
        <w:ind w:left="3204" w:hanging="360"/>
      </w:pPr>
    </w:lvl>
    <w:lvl w:ilvl="2" w:tplc="0415001B" w:tentative="1">
      <w:start w:val="1"/>
      <w:numFmt w:val="lowerRoman"/>
      <w:lvlText w:val="%3."/>
      <w:lvlJc w:val="right"/>
      <w:pPr>
        <w:ind w:left="3924" w:hanging="180"/>
      </w:pPr>
    </w:lvl>
    <w:lvl w:ilvl="3" w:tplc="0415000F" w:tentative="1">
      <w:start w:val="1"/>
      <w:numFmt w:val="decimal"/>
      <w:lvlText w:val="%4."/>
      <w:lvlJc w:val="left"/>
      <w:pPr>
        <w:ind w:left="4644" w:hanging="360"/>
      </w:pPr>
    </w:lvl>
    <w:lvl w:ilvl="4" w:tplc="04150019" w:tentative="1">
      <w:start w:val="1"/>
      <w:numFmt w:val="lowerLetter"/>
      <w:lvlText w:val="%5."/>
      <w:lvlJc w:val="left"/>
      <w:pPr>
        <w:ind w:left="5364" w:hanging="360"/>
      </w:pPr>
    </w:lvl>
    <w:lvl w:ilvl="5" w:tplc="0415001B" w:tentative="1">
      <w:start w:val="1"/>
      <w:numFmt w:val="lowerRoman"/>
      <w:lvlText w:val="%6."/>
      <w:lvlJc w:val="right"/>
      <w:pPr>
        <w:ind w:left="6084" w:hanging="180"/>
      </w:pPr>
    </w:lvl>
    <w:lvl w:ilvl="6" w:tplc="0415000F" w:tentative="1">
      <w:start w:val="1"/>
      <w:numFmt w:val="decimal"/>
      <w:lvlText w:val="%7."/>
      <w:lvlJc w:val="left"/>
      <w:pPr>
        <w:ind w:left="6804" w:hanging="360"/>
      </w:pPr>
    </w:lvl>
    <w:lvl w:ilvl="7" w:tplc="04150019" w:tentative="1">
      <w:start w:val="1"/>
      <w:numFmt w:val="lowerLetter"/>
      <w:lvlText w:val="%8."/>
      <w:lvlJc w:val="left"/>
      <w:pPr>
        <w:ind w:left="7524" w:hanging="360"/>
      </w:pPr>
    </w:lvl>
    <w:lvl w:ilvl="8" w:tplc="0415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7" w15:restartNumberingAfterBreak="0">
    <w:nsid w:val="5BCE319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CC4222C"/>
    <w:multiLevelType w:val="multilevel"/>
    <w:tmpl w:val="7A50CA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B4C7F4E"/>
    <w:multiLevelType w:val="multilevel"/>
    <w:tmpl w:val="0415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0" w15:restartNumberingAfterBreak="0">
    <w:nsid w:val="6F5D1FDC"/>
    <w:multiLevelType w:val="hybridMultilevel"/>
    <w:tmpl w:val="BF7CA336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07F762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5254DA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5E4777"/>
    <w:multiLevelType w:val="multilevel"/>
    <w:tmpl w:val="0415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10"/>
  </w:num>
  <w:num w:numId="2">
    <w:abstractNumId w:val="18"/>
    <w:lvlOverride w:ilvl="1">
      <w:lvl w:ilvl="1">
        <w:numFmt w:val="decimal"/>
        <w:lvlText w:val="%2."/>
        <w:lvlJc w:val="left"/>
      </w:lvl>
    </w:lvlOverride>
  </w:num>
  <w:num w:numId="3">
    <w:abstractNumId w:val="7"/>
  </w:num>
  <w:num w:numId="4">
    <w:abstractNumId w:val="13"/>
    <w:lvlOverride w:ilvl="1">
      <w:lvl w:ilvl="1">
        <w:numFmt w:val="decimal"/>
        <w:lvlText w:val="%2."/>
        <w:lvlJc w:val="left"/>
      </w:lvl>
    </w:lvlOverride>
  </w:num>
  <w:num w:numId="5">
    <w:abstractNumId w:val="6"/>
    <w:lvlOverride w:ilvl="1">
      <w:lvl w:ilvl="1">
        <w:numFmt w:val="decimal"/>
        <w:lvlText w:val="%2."/>
        <w:lvlJc w:val="left"/>
      </w:lvl>
    </w:lvlOverride>
  </w:num>
  <w:num w:numId="6">
    <w:abstractNumId w:val="6"/>
    <w:lvlOverride w:ilvl="1">
      <w:lvl w:ilvl="1">
        <w:numFmt w:val="decimal"/>
        <w:lvlText w:val="%2."/>
        <w:lvlJc w:val="left"/>
      </w:lvl>
    </w:lvlOverride>
  </w:num>
  <w:num w:numId="7">
    <w:abstractNumId w:val="12"/>
    <w:lvlOverride w:ilvl="0">
      <w:lvl w:ilvl="0">
        <w:numFmt w:val="decimal"/>
        <w:lvlText w:val="%1."/>
        <w:lvlJc w:val="left"/>
      </w:lvl>
    </w:lvlOverride>
  </w:num>
  <w:num w:numId="8">
    <w:abstractNumId w:val="1"/>
    <w:lvlOverride w:ilvl="1">
      <w:lvl w:ilvl="1">
        <w:numFmt w:val="decimal"/>
        <w:lvlText w:val="%2."/>
        <w:lvlJc w:val="left"/>
      </w:lvl>
    </w:lvlOverride>
  </w:num>
  <w:num w:numId="9">
    <w:abstractNumId w:val="2"/>
    <w:lvlOverride w:ilvl="1">
      <w:lvl w:ilvl="1">
        <w:numFmt w:val="decimal"/>
        <w:lvlText w:val="%2."/>
        <w:lvlJc w:val="left"/>
      </w:lvl>
    </w:lvlOverride>
  </w:num>
  <w:num w:numId="10">
    <w:abstractNumId w:val="5"/>
    <w:lvlOverride w:ilvl="0">
      <w:lvl w:ilvl="0">
        <w:numFmt w:val="decimal"/>
        <w:lvlText w:val="%1."/>
        <w:lvlJc w:val="left"/>
      </w:lvl>
    </w:lvlOverride>
  </w:num>
  <w:num w:numId="11">
    <w:abstractNumId w:val="15"/>
    <w:lvlOverride w:ilvl="0">
      <w:lvl w:ilvl="0">
        <w:numFmt w:val="decimal"/>
        <w:lvlText w:val="%1."/>
        <w:lvlJc w:val="left"/>
      </w:lvl>
    </w:lvlOverride>
  </w:num>
  <w:num w:numId="12">
    <w:abstractNumId w:val="15"/>
    <w:lvlOverride w:ilvl="0">
      <w:lvl w:ilvl="0">
        <w:numFmt w:val="decimal"/>
        <w:lvlText w:val="%1."/>
        <w:lvlJc w:val="left"/>
      </w:lvl>
    </w:lvlOverride>
  </w:num>
  <w:num w:numId="13">
    <w:abstractNumId w:val="15"/>
    <w:lvlOverride w:ilvl="0">
      <w:lvl w:ilvl="0">
        <w:numFmt w:val="decimal"/>
        <w:lvlText w:val="%1."/>
        <w:lvlJc w:val="left"/>
      </w:lvl>
    </w:lvlOverride>
  </w:num>
  <w:num w:numId="14">
    <w:abstractNumId w:val="15"/>
    <w:lvlOverride w:ilvl="0">
      <w:lvl w:ilvl="0">
        <w:numFmt w:val="decimal"/>
        <w:lvlText w:val="%1."/>
        <w:lvlJc w:val="left"/>
      </w:lvl>
    </w:lvlOverride>
  </w:num>
  <w:num w:numId="15">
    <w:abstractNumId w:val="15"/>
    <w:lvlOverride w:ilvl="0">
      <w:lvl w:ilvl="0">
        <w:numFmt w:val="decimal"/>
        <w:lvlText w:val="%1."/>
        <w:lvlJc w:val="left"/>
      </w:lvl>
    </w:lvlOverride>
  </w:num>
  <w:num w:numId="16">
    <w:abstractNumId w:val="20"/>
  </w:num>
  <w:num w:numId="17">
    <w:abstractNumId w:val="11"/>
  </w:num>
  <w:num w:numId="18">
    <w:abstractNumId w:val="23"/>
  </w:num>
  <w:num w:numId="19">
    <w:abstractNumId w:val="8"/>
  </w:num>
  <w:num w:numId="20">
    <w:abstractNumId w:val="22"/>
  </w:num>
  <w:num w:numId="21">
    <w:abstractNumId w:val="17"/>
  </w:num>
  <w:num w:numId="22">
    <w:abstractNumId w:val="19"/>
  </w:num>
  <w:num w:numId="23">
    <w:abstractNumId w:val="0"/>
  </w:num>
  <w:num w:numId="24">
    <w:abstractNumId w:val="9"/>
  </w:num>
  <w:num w:numId="25">
    <w:abstractNumId w:val="4"/>
  </w:num>
  <w:num w:numId="26">
    <w:abstractNumId w:val="3"/>
  </w:num>
  <w:num w:numId="27">
    <w:abstractNumId w:val="16"/>
  </w:num>
  <w:num w:numId="28">
    <w:abstractNumId w:val="21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365"/>
    <w:rsid w:val="00036461"/>
    <w:rsid w:val="0062712B"/>
    <w:rsid w:val="006846CD"/>
    <w:rsid w:val="00A77365"/>
    <w:rsid w:val="00DB1A35"/>
    <w:rsid w:val="00DC6362"/>
    <w:rsid w:val="00F5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2F417"/>
  <w15:chartTrackingRefBased/>
  <w15:docId w15:val="{9FE998AF-2CF2-42BE-8D9F-5FC41A88F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77365"/>
    <w:pPr>
      <w:jc w:val="both"/>
    </w:pPr>
    <w:rPr>
      <w:rFonts w:ascii="Times New Roman" w:hAnsi="Times New Roman"/>
      <w:sz w:val="26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773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A7736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773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7365"/>
    <w:rPr>
      <w:rFonts w:ascii="Segoe UI" w:hAnsi="Segoe UI" w:cs="Segoe UI"/>
      <w:sz w:val="18"/>
      <w:szCs w:val="18"/>
    </w:rPr>
  </w:style>
  <w:style w:type="paragraph" w:styleId="Akapitzlist">
    <w:name w:val="List Paragraph"/>
    <w:basedOn w:val="Normalny"/>
    <w:uiPriority w:val="34"/>
    <w:qFormat/>
    <w:rsid w:val="00A77365"/>
    <w:pPr>
      <w:ind w:left="720"/>
      <w:contextualSpacing/>
    </w:pPr>
  </w:style>
  <w:style w:type="paragraph" w:customStyle="1" w:styleId="punty">
    <w:name w:val="punty"/>
    <w:basedOn w:val="Normalny"/>
    <w:next w:val="Normalny"/>
    <w:link w:val="puntyZnak"/>
    <w:qFormat/>
    <w:rsid w:val="00DB1A35"/>
    <w:pPr>
      <w:numPr>
        <w:numId w:val="27"/>
      </w:numPr>
    </w:pPr>
    <w:rPr>
      <w:b/>
      <w:sz w:val="36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A773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untyZnak">
    <w:name w:val="punty Znak"/>
    <w:basedOn w:val="Domylnaczcionkaakapitu"/>
    <w:link w:val="punty"/>
    <w:rsid w:val="00DB1A35"/>
    <w:rPr>
      <w:rFonts w:ascii="Times New Roman" w:hAnsi="Times New Roman"/>
      <w:b/>
      <w:sz w:val="36"/>
      <w:lang w:eastAsia="pl-PL"/>
    </w:rPr>
  </w:style>
  <w:style w:type="paragraph" w:styleId="Tytu">
    <w:name w:val="Title"/>
    <w:basedOn w:val="Normalny"/>
    <w:next w:val="Normalny"/>
    <w:link w:val="TytuZnak"/>
    <w:uiPriority w:val="10"/>
    <w:qFormat/>
    <w:rsid w:val="00DB1A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B1A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egenda">
    <w:name w:val="caption"/>
    <w:basedOn w:val="Normalny"/>
    <w:next w:val="Normalny"/>
    <w:uiPriority w:val="35"/>
    <w:unhideWhenUsed/>
    <w:qFormat/>
    <w:rsid w:val="0062712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4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419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Borusiewicz</dc:creator>
  <cp:keywords/>
  <dc:description/>
  <cp:lastModifiedBy>Tomasz Borusiewicz</cp:lastModifiedBy>
  <cp:revision>3</cp:revision>
  <dcterms:created xsi:type="dcterms:W3CDTF">2019-04-07T11:26:00Z</dcterms:created>
  <dcterms:modified xsi:type="dcterms:W3CDTF">2019-04-07T12:25:00Z</dcterms:modified>
</cp:coreProperties>
</file>