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智能纪要：新能源控制项目研发规划 2026年7月14日</w:t>
      </w:r>
    </w:p>
    <w:p>
      <w:pPr>
        <w:spacing w:before="120" w:after="120" w:line="288" w:lineRule="auto"/>
        <w:ind w:left="0"/>
        <w:jc w:val="left"/>
      </w:pPr>
      <w:r>
        <w:rPr>
          <w:rFonts w:eastAsia="等线" w:ascii="Arial" w:cs="Arial" w:hAnsi="Arial"/>
          <w:sz w:val="22"/>
        </w:rPr>
        <w:t>录音时间：2026-07-14 09:17 - 2026-07-14 10:06</w:t>
      </w:r>
    </w:p>
    <w:p>
      <w:pPr>
        <w:pStyle w:val="1"/>
        <w:spacing w:before="380" w:after="140" w:line="288" w:lineRule="auto"/>
        <w:ind w:left="0"/>
        <w:jc w:val="left"/>
        <w:outlineLvl w:val="0"/>
      </w:pPr>
      <w:bookmarkStart w:name="heading_0" w:id="0"/>
      <w:r>
        <w:rPr>
          <w:rFonts w:eastAsia="等线" w:ascii="Arial" w:cs="Arial" w:hAnsi="Arial"/>
          <w:b w:val="true"/>
          <w:sz w:val="36"/>
        </w:rPr>
        <w:t>总结</w:t>
      </w:r>
      <w:bookmarkEnd w:id="0"/>
    </w:p>
    <w:p>
      <w:pPr>
        <w:spacing w:before="120" w:after="120" w:line="288" w:lineRule="auto"/>
        <w:ind w:left="0"/>
        <w:jc w:val="center"/>
      </w:pPr>
      <w:r>
        <w:drawing>
          <wp:inline distT="0" distR="0" distB="0" distL="0">
            <wp:extent cx="5257800" cy="35623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5623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音频明确暑期研发任务、技术实现路径、对接机制及长期方向，同步了在研项目背景与行业趋势，内容如下：</w:t>
      </w:r>
    </w:p>
    <w:p>
      <w:pPr>
        <w:numPr>
          <w:numId w:val="1"/>
        </w:numPr>
        <w:spacing w:before="120" w:after="120" w:line="288" w:lineRule="auto"/>
        <w:ind w:left="0"/>
        <w:jc w:val="left"/>
      </w:pPr>
      <w:r>
        <w:rPr>
          <w:rFonts w:eastAsia="等线" w:ascii="Arial" w:cs="Arial" w:hAnsi="Arial"/>
          <w:b w:val="true"/>
          <w:sz w:val="22"/>
        </w:rPr>
        <w:t>技术实现路径与模块分工</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4554"/>
        <w:gridCol w:w="3726"/>
      </w:tblGrid>
      <w:tr>
        <w:tc>
          <w:tcPr>
            <w:tcW w:w="4554" w:type="dxa"/>
            <w:tcMar>
              <w:top w:type="dxa" w:w="60"/>
              <w:left w:type="dxa" w:w="120"/>
              <w:bottom w:type="dxa" w:w="30"/>
              <w:right w:type="dxa" w:w="120"/>
            </w:tcMar>
          </w:tcPr>
          <w:p>
            <w:pPr>
              <w:numPr>
                <w:numId w:val="2"/>
              </w:numPr>
              <w:spacing w:before="120" w:after="120" w:line="288" w:lineRule="auto"/>
              <w:ind w:left="0"/>
              <w:jc w:val="left"/>
            </w:pPr>
            <w:r>
              <w:rPr>
                <w:rFonts w:eastAsia="等线" w:ascii="Arial" w:cs="Arial" w:hAnsi="Arial"/>
                <w:b w:val="true"/>
                <w:sz w:val="22"/>
              </w:rPr>
              <w:t>可直接复用的成熟模块</w:t>
            </w:r>
          </w:p>
          <w:p>
            <w:pPr>
              <w:numPr>
                <w:numId w:val="3"/>
              </w:numPr>
              <w:spacing w:before="120" w:after="120" w:line="288" w:lineRule="auto"/>
              <w:ind w:left="453"/>
              <w:jc w:val="left"/>
            </w:pPr>
            <w:r>
              <w:rPr>
                <w:rFonts w:eastAsia="等线" w:ascii="Arial" w:cs="Arial" w:hAnsi="Arial"/>
                <w:sz w:val="22"/>
              </w:rPr>
              <w:t>底层通讯模块复用：现场数据采集、通讯服务器由杨师兄团队完成，无需关注底层数据来源逻辑</w:t>
            </w:r>
          </w:p>
          <w:p>
            <w:pPr>
              <w:numPr>
                <w:numId w:val="4"/>
              </w:numPr>
              <w:spacing w:before="120" w:after="120" w:line="288" w:lineRule="auto"/>
              <w:ind w:left="453"/>
              <w:jc w:val="left"/>
            </w:pPr>
            <w:r>
              <w:rPr>
                <w:rFonts w:eastAsia="等线" w:ascii="Arial" w:cs="Arial" w:hAnsi="Arial"/>
                <w:sz w:val="22"/>
              </w:rPr>
              <w:t>协议编解码复用：104 协议编解码由唐师兄完成，后续直接获取对应代码，无需自主开发</w:t>
            </w:r>
          </w:p>
        </w:tc>
        <w:tc>
          <w:tcPr>
            <w:tcW w:w="3726" w:type="dxa"/>
            <w:tcMar>
              <w:top w:type="dxa" w:w="60"/>
              <w:left w:type="dxa" w:w="120"/>
              <w:bottom w:type="dxa" w:w="30"/>
              <w:right w:type="dxa" w:w="120"/>
            </w:tcMar>
          </w:tcPr>
          <w:p>
            <w:pPr>
              <w:spacing w:before="120" w:after="120" w:line="288" w:lineRule="auto"/>
              <w:ind w:left="0"/>
              <w:jc w:val="center"/>
            </w:pPr>
            <w:r>
              <w:drawing>
                <wp:inline distT="0" distR="0" distB="0" distL="0">
                  <wp:extent cx="2209800" cy="7239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2209800" cy="7239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系统开发模块分工表</w:t>
              <w:br/>
            </w:r>
          </w:p>
        </w:tc>
      </w:tr>
    </w:tbl>
    <w:p>
      <w:pPr>
        <w:numPr>
          <w:numId w:val="5"/>
        </w:numPr>
        <w:spacing w:before="120" w:after="120" w:line="288" w:lineRule="auto"/>
        <w:ind w:left="453"/>
        <w:jc w:val="left"/>
      </w:pPr>
      <w:r>
        <w:rPr>
          <w:rFonts w:eastAsia="等线" w:ascii="Arial" w:cs="Arial" w:hAnsi="Arial"/>
          <w:b w:val="true"/>
          <w:sz w:val="22"/>
        </w:rPr>
        <w:t>需自主实现的核心模块</w:t>
      </w:r>
    </w:p>
    <w:p>
      <w:pPr>
        <w:numPr>
          <w:numId w:val="6"/>
        </w:numPr>
        <w:spacing w:before="120" w:after="120" w:line="288" w:lineRule="auto"/>
        <w:ind w:left="907"/>
        <w:jc w:val="left"/>
      </w:pPr>
      <w:r>
        <w:rPr>
          <w:rFonts w:eastAsia="等线" w:ascii="Arial" w:cs="Arial" w:hAnsi="Arial"/>
          <w:sz w:val="22"/>
        </w:rPr>
        <w:t>共享内存开发要求：今日完成共享内存逻辑理解，可借助 AI 工具生成 C++ 版本代码并吃透</w:t>
      </w:r>
    </w:p>
    <w:p>
      <w:pPr>
        <w:numPr>
          <w:numId w:val="7"/>
        </w:numPr>
        <w:spacing w:before="120" w:after="120" w:line="288" w:lineRule="auto"/>
        <w:ind w:left="907"/>
        <w:jc w:val="left"/>
      </w:pPr>
      <w:r>
        <w:rPr>
          <w:rFonts w:eastAsia="等线" w:ascii="Arial" w:cs="Arial" w:hAnsi="Arial"/>
          <w:sz w:val="22"/>
        </w:rPr>
        <w:t>共享内存核心作用：打通多线程（各策略、UI、通讯线程）的数据交互通道，统一全链路输入输出标准</w:t>
      </w:r>
    </w:p>
    <w:p>
      <w:pPr>
        <w:numPr>
          <w:numId w:val="8"/>
        </w:numPr>
        <w:spacing w:before="120" w:after="120" w:line="288" w:lineRule="auto"/>
        <w:ind w:left="907"/>
        <w:jc w:val="left"/>
      </w:pPr>
      <w:r>
        <w:rPr>
          <w:rFonts w:eastAsia="等线" w:ascii="Arial" w:cs="Arial" w:hAnsi="Arial"/>
          <w:sz w:val="22"/>
        </w:rPr>
        <w:t>共享内存兜底方案：若开发遇阻可直接对接唐师兄获取参考代码，不强制要求从零编写实现</w:t>
      </w:r>
    </w:p>
    <w:p>
      <w:pPr>
        <w:numPr>
          <w:numId w:val="9"/>
        </w:numPr>
        <w:spacing w:before="120" w:after="120" w:line="288" w:lineRule="auto"/>
        <w:ind w:left="453"/>
        <w:jc w:val="left"/>
      </w:pPr>
      <w:r>
        <w:rPr>
          <w:rFonts w:eastAsia="等线" w:ascii="Arial" w:cs="Arial" w:hAnsi="Arial"/>
          <w:b w:val="true"/>
          <w:sz w:val="22"/>
        </w:rPr>
        <w:t>整体架构与非核心模块安排</w:t>
      </w:r>
    </w:p>
    <w:p>
      <w:pPr>
        <w:numPr>
          <w:numId w:val="10"/>
        </w:numPr>
        <w:spacing w:before="120" w:after="120" w:line="288" w:lineRule="auto"/>
        <w:ind w:left="907"/>
        <w:jc w:val="left"/>
      </w:pPr>
      <w:r>
        <w:rPr>
          <w:rFonts w:eastAsia="等线" w:ascii="Arial" w:cs="Arial" w:hAnsi="Arial"/>
          <w:sz w:val="22"/>
        </w:rPr>
        <w:t>基础架构逻辑：采用「大 while 循环 + 状态机」架构，通讯线程负责读写共享内存，触发对应策略执行</w:t>
      </w:r>
    </w:p>
    <w:p>
      <w:pPr>
        <w:numPr>
          <w:numId w:val="11"/>
        </w:numPr>
        <w:spacing w:before="120" w:after="120" w:line="288" w:lineRule="auto"/>
        <w:ind w:left="907"/>
        <w:jc w:val="left"/>
      </w:pPr>
      <w:r>
        <w:rPr>
          <w:rFonts w:eastAsia="等线" w:ascii="Arial" w:cs="Arial" w:hAnsi="Arial"/>
          <w:sz w:val="22"/>
        </w:rPr>
        <w:t>UI 模块安排：UI 模块暂不开发，待对应团队到场后统一培训，1 小时即可掌握实现逻辑</w:t>
      </w:r>
    </w:p>
    <w:p>
      <w:pPr>
        <w:numPr>
          <w:numId w:val="12"/>
        </w:numPr>
        <w:spacing w:before="120" w:after="120" w:line="288" w:lineRule="auto"/>
        <w:ind w:left="907"/>
        <w:jc w:val="left"/>
      </w:pPr>
      <w:r>
        <w:rPr>
          <w:rFonts w:eastAsia="等线" w:ascii="Arial" w:cs="Arial" w:hAnsi="Arial"/>
          <w:sz w:val="22"/>
        </w:rPr>
        <w:t>单策略调试方案：可自行编写模拟程序，向共享内存注入模拟数据，无需依赖真实硬件即可验证</w:t>
      </w:r>
    </w:p>
    <w:p>
      <w:pPr>
        <w:numPr>
          <w:numId w:val="13"/>
        </w:numPr>
        <w:spacing w:before="120" w:after="120" w:line="288" w:lineRule="auto"/>
        <w:ind w:left="0"/>
        <w:jc w:val="left"/>
      </w:pPr>
      <w:r>
        <w:rPr>
          <w:rFonts w:eastAsia="等线" w:ascii="Arial" w:cs="Arial" w:hAnsi="Arial"/>
          <w:b w:val="true"/>
          <w:sz w:val="22"/>
        </w:rPr>
        <w:t>暑期研发任务与验收要求</w:t>
      </w:r>
    </w:p>
    <w:p>
      <w:pPr>
        <w:numPr>
          <w:numId w:val="14"/>
        </w:numPr>
        <w:spacing w:before="120" w:after="120" w:line="288" w:lineRule="auto"/>
        <w:ind w:left="453"/>
        <w:jc w:val="left"/>
      </w:pPr>
      <w:r>
        <w:rPr>
          <w:rFonts w:eastAsia="等线" w:ascii="Arial" w:cs="Arial" w:hAnsi="Arial"/>
          <w:b w:val="true"/>
          <w:sz w:val="22"/>
        </w:rPr>
        <w:t>核心优先级要求</w:t>
      </w:r>
    </w:p>
    <w:p>
      <w:pPr>
        <w:numPr>
          <w:numId w:val="15"/>
        </w:numPr>
        <w:spacing w:before="120" w:after="120" w:line="288" w:lineRule="auto"/>
        <w:ind w:left="907"/>
        <w:jc w:val="left"/>
      </w:pPr>
      <w:r>
        <w:rPr>
          <w:rFonts w:eastAsia="等线" w:ascii="Arial" w:cs="Arial" w:hAnsi="Arial"/>
          <w:sz w:val="22"/>
        </w:rPr>
        <w:t>任务优先级锚定：所有任务以控制策略调试为绝对核心，其余基础模块均为辅助，无需投入过多精力</w:t>
      </w:r>
    </w:p>
    <w:p>
      <w:pPr>
        <w:numPr>
          <w:numId w:val="16"/>
        </w:numPr>
        <w:spacing w:before="120" w:after="120" w:line="288" w:lineRule="auto"/>
        <w:ind w:left="907"/>
        <w:jc w:val="left"/>
      </w:pPr>
      <w:r>
        <w:rPr>
          <w:rFonts w:eastAsia="等线" w:ascii="Arial" w:cs="Arial" w:hAnsi="Arial"/>
          <w:sz w:val="22"/>
        </w:rPr>
        <w:t>客户对接准备：需将策略调试至可直接对接客户的成熟度，同步补充行业知识，可顺畅回应专业问题</w:t>
      </w:r>
    </w:p>
    <w:p>
      <w:pPr>
        <w:numPr>
          <w:numId w:val="17"/>
        </w:numPr>
        <w:spacing w:before="120" w:after="120" w:line="288" w:lineRule="auto"/>
        <w:ind w:left="453"/>
        <w:jc w:val="left"/>
      </w:pPr>
      <w:r>
        <w:rPr>
          <w:rFonts w:eastAsia="等线" w:ascii="Arial" w:cs="Arial" w:hAnsi="Arial"/>
          <w:b w:val="true"/>
          <w:sz w:val="22"/>
        </w:rPr>
        <w:t>测试规范要求</w:t>
      </w:r>
    </w:p>
    <w:p>
      <w:pPr>
        <w:numPr>
          <w:numId w:val="18"/>
        </w:numPr>
        <w:spacing w:before="120" w:after="120" w:line="288" w:lineRule="auto"/>
        <w:ind w:left="907"/>
        <w:jc w:val="left"/>
      </w:pPr>
      <w:r>
        <w:rPr>
          <w:rFonts w:eastAsia="等线" w:ascii="Arial" w:cs="Arial" w:hAnsi="Arial"/>
          <w:sz w:val="22"/>
        </w:rPr>
        <w:t>测试用例存储：每个策略的不同运行工况需单独建立文件夹存储测试数据，形成标准化可追溯的用例</w:t>
      </w:r>
    </w:p>
    <w:p>
      <w:pPr>
        <w:numPr>
          <w:numId w:val="19"/>
        </w:numPr>
        <w:spacing w:before="120" w:after="120" w:line="288" w:lineRule="auto"/>
        <w:ind w:left="907"/>
        <w:jc w:val="left"/>
      </w:pPr>
      <w:r>
        <w:rPr>
          <w:rFonts w:eastAsia="等线" w:ascii="Arial" w:cs="Arial" w:hAnsi="Arial"/>
          <w:sz w:val="22"/>
        </w:rPr>
        <w:t>测试核验要求：测试数据需满足中煤方上线前的核验要求，保障工业场景落地的安全性与稳定性</w:t>
      </w:r>
    </w:p>
    <w:p>
      <w:pPr>
        <w:numPr>
          <w:numId w:val="20"/>
        </w:numPr>
        <w:spacing w:before="120" w:after="120" w:line="288" w:lineRule="auto"/>
        <w:ind w:left="453"/>
        <w:jc w:val="left"/>
      </w:pPr>
      <w:r>
        <w:rPr>
          <w:rFonts w:eastAsia="等线" w:ascii="Arial" w:cs="Arial" w:hAnsi="Arial"/>
          <w:b w:val="true"/>
          <w:sz w:val="22"/>
        </w:rPr>
        <w:t>节点与分工安排</w:t>
      </w:r>
    </w:p>
    <w:p>
      <w:pPr>
        <w:numPr>
          <w:numId w:val="21"/>
        </w:numPr>
        <w:spacing w:before="120" w:after="120" w:line="288" w:lineRule="auto"/>
        <w:ind w:left="907"/>
        <w:jc w:val="left"/>
      </w:pPr>
      <w:r>
        <w:rPr>
          <w:rFonts w:eastAsia="等线" w:ascii="Arial" w:cs="Arial" w:hAnsi="Arial"/>
          <w:sz w:val="22"/>
        </w:rPr>
        <w:t>整体周期规划：整体研发周期为 1.5 个月，完成全策略验证后对接唐师兄，1-2 周即可完成产品集成</w:t>
      </w:r>
    </w:p>
    <w:p>
      <w:pPr>
        <w:numPr>
          <w:numId w:val="22"/>
        </w:numPr>
        <w:spacing w:before="120" w:after="120" w:line="288" w:lineRule="auto"/>
        <w:ind w:left="907"/>
        <w:jc w:val="left"/>
      </w:pPr>
      <w:r>
        <w:rPr>
          <w:rFonts w:eastAsia="等线" w:ascii="Arial" w:cs="Arial" w:hAnsi="Arial"/>
          <w:sz w:val="22"/>
        </w:rPr>
        <w:t>成员分工安排：两名负责 IBC 光伏方向的成员可协同开发避免重复工作，剩余成员负责风电方向研发</w:t>
      </w:r>
    </w:p>
    <w:p>
      <w:pPr>
        <w:numPr>
          <w:numId w:val="23"/>
        </w:numPr>
        <w:spacing w:before="120" w:after="120" w:line="288" w:lineRule="auto"/>
        <w:ind w:left="907"/>
        <w:jc w:val="left"/>
      </w:pPr>
      <w:r>
        <w:rPr>
          <w:rFonts w:eastAsia="等线" w:ascii="Arial" w:cs="Arial" w:hAnsi="Arial"/>
          <w:sz w:val="22"/>
        </w:rPr>
        <w:t>进度同步机制：固定每周二上午 9 点同步进度，重点核验策略调试的完备性与稳定性，其余时间自主安排</w:t>
      </w:r>
    </w:p>
    <w:p>
      <w:pPr>
        <w:spacing w:before="120" w:after="120" w:line="288" w:lineRule="auto"/>
        <w:ind w:left="453"/>
        <w:jc w:val="center"/>
      </w:pPr>
      <w:r>
        <w:drawing>
          <wp:inline distT="0" distR="0" distB="0" distL="0">
            <wp:extent cx="5257800" cy="13144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1314450"/>
                    </a:xfrm>
                    <a:prstGeom prst="rect">
                      <a:avLst/>
                    </a:prstGeom>
                  </pic:spPr>
                </pic:pic>
              </a:graphicData>
            </a:graphic>
          </wp:inline>
        </w:drawing>
      </w:r>
    </w:p>
    <w:p>
      <w:pPr>
        <w:spacing w:before="120" w:after="120" w:line="288" w:lineRule="auto"/>
        <w:ind w:left="453"/>
        <w:jc w:val="center"/>
      </w:pPr>
      <w:r>
        <w:rPr>
          <w:rFonts w:eastAsia="等线" w:ascii="Arial" w:cs="Arial" w:hAnsi="Arial"/>
          <w:color w:val="8F959E"/>
          <w:sz w:val="22"/>
        </w:rPr>
        <w:t>暑期研发里程碑时序</w:t>
        <w:br/>
      </w:r>
    </w:p>
    <w:p>
      <w:pPr>
        <w:numPr>
          <w:numId w:val="24"/>
        </w:numPr>
        <w:spacing w:before="120" w:after="120" w:line="288" w:lineRule="auto"/>
        <w:ind w:left="0"/>
        <w:jc w:val="left"/>
      </w:pPr>
      <w:r>
        <w:rPr>
          <w:rFonts w:eastAsia="等线" w:ascii="Arial" w:cs="Arial" w:hAnsi="Arial"/>
          <w:b w:val="true"/>
          <w:sz w:val="22"/>
        </w:rPr>
        <w:t>在研项目背景与行业方向</w:t>
      </w:r>
    </w:p>
    <w:p>
      <w:pPr>
        <w:numPr>
          <w:numId w:val="25"/>
        </w:numPr>
        <w:spacing w:before="120" w:after="120" w:line="288" w:lineRule="auto"/>
        <w:ind w:left="453"/>
        <w:jc w:val="left"/>
      </w:pPr>
      <w:r>
        <w:rPr>
          <w:rFonts w:eastAsia="等线" w:ascii="Arial" w:cs="Arial" w:hAnsi="Arial"/>
          <w:b w:val="true"/>
          <w:sz w:val="22"/>
        </w:rPr>
        <w:t>当前核心落地项目</w:t>
      </w:r>
    </w:p>
    <w:p>
      <w:pPr>
        <w:numPr>
          <w:numId w:val="26"/>
        </w:numPr>
        <w:spacing w:before="120" w:after="120" w:line="288" w:lineRule="auto"/>
        <w:ind w:left="907"/>
        <w:jc w:val="left"/>
      </w:pPr>
      <w:r>
        <w:rPr>
          <w:rFonts w:eastAsia="等线" w:ascii="Arial" w:cs="Arial" w:hAnsi="Arial"/>
          <w:sz w:val="22"/>
        </w:rPr>
        <w:t>鄂尔多斯示范项目：40 亿级风光氢耦合示范项目，负责风光发电侧 AGC/AVC 调控模块开发，适配出力波动</w:t>
      </w:r>
    </w:p>
    <w:p>
      <w:pPr>
        <w:numPr>
          <w:numId w:val="27"/>
        </w:numPr>
        <w:spacing w:before="120" w:after="120" w:line="288" w:lineRule="auto"/>
        <w:ind w:left="907"/>
        <w:jc w:val="left"/>
      </w:pPr>
      <w:r>
        <w:rPr>
          <w:rFonts w:eastAsia="等线" w:ascii="Arial" w:cs="Arial" w:hAnsi="Arial"/>
          <w:sz w:val="22"/>
        </w:rPr>
        <w:t>锡林郭勒储热项目：落地 2 吨级固体储热装置，解决北方居民冬季采暖需求，已获当地政府官方支持</w:t>
      </w:r>
    </w:p>
    <w:p>
      <w:pPr>
        <w:numPr>
          <w:numId w:val="28"/>
        </w:numPr>
        <w:spacing w:before="120" w:after="120" w:line="288" w:lineRule="auto"/>
        <w:ind w:left="907"/>
        <w:jc w:val="left"/>
      </w:pPr>
      <w:r>
        <w:rPr>
          <w:rFonts w:eastAsia="等线" w:ascii="Arial" w:cs="Arial" w:hAnsi="Arial"/>
          <w:sz w:val="22"/>
        </w:rPr>
        <w:t>江苏大屯项目：3000 万级智能电网项目，承接储能协调控制、多智能体协同决策两个核心课题</w:t>
      </w:r>
    </w:p>
    <w:p>
      <w:pPr>
        <w:numPr>
          <w:numId w:val="29"/>
        </w:numPr>
        <w:spacing w:before="120" w:after="120" w:line="288" w:lineRule="auto"/>
        <w:ind w:left="453"/>
        <w:jc w:val="left"/>
      </w:pPr>
      <w:r>
        <w:rPr>
          <w:rFonts w:eastAsia="等线" w:ascii="Arial" w:cs="Arial" w:hAnsi="Arial"/>
          <w:b w:val="true"/>
          <w:sz w:val="22"/>
        </w:rPr>
        <w:t>行业核心发展趋势</w:t>
      </w:r>
    </w:p>
    <w:p>
      <w:pPr>
        <w:numPr>
          <w:numId w:val="30"/>
        </w:numPr>
        <w:spacing w:before="120" w:after="120" w:line="288" w:lineRule="auto"/>
        <w:ind w:left="907"/>
        <w:jc w:val="left"/>
      </w:pPr>
      <w:r>
        <w:rPr>
          <w:rFonts w:eastAsia="等线" w:ascii="Arial" w:cs="Arial" w:hAnsi="Arial"/>
          <w:sz w:val="22"/>
        </w:rPr>
        <w:t>行业核心痛点：当前电力系统核心痛点为孤网型逆变器的多机协调控制，团队已形成初步解决方案</w:t>
      </w:r>
    </w:p>
    <w:p>
      <w:pPr>
        <w:numPr>
          <w:numId w:val="31"/>
        </w:numPr>
        <w:spacing w:before="120" w:after="120" w:line="288" w:lineRule="auto"/>
        <w:ind w:left="907"/>
        <w:jc w:val="left"/>
      </w:pPr>
      <w:r>
        <w:rPr>
          <w:rFonts w:eastAsia="等线" w:ascii="Arial" w:cs="Arial" w:hAnsi="Arial"/>
          <w:sz w:val="22"/>
        </w:rPr>
        <w:t>高潜力赛道：核心高潜力赛道包括交通电气化（充换电）、家庭能源管理、数据中心电源、P2X 转化</w:t>
      </w:r>
    </w:p>
    <w:p>
      <w:pPr>
        <w:numPr>
          <w:numId w:val="32"/>
        </w:numPr>
        <w:spacing w:before="120" w:after="120" w:line="288" w:lineRule="auto"/>
        <w:ind w:left="907"/>
        <w:jc w:val="left"/>
      </w:pPr>
      <w:r>
        <w:rPr>
          <w:rFonts w:eastAsia="等线" w:ascii="Arial" w:cs="Arial" w:hAnsi="Arial"/>
          <w:sz w:val="22"/>
        </w:rPr>
        <w:t>价值判断逻辑：软件核心价值为优化运行效率，需优先锚定效率提升类场景，而非解决基础有无问题</w:t>
      </w:r>
    </w:p>
    <w:p>
      <w:pPr>
        <w:numPr>
          <w:numId w:val="33"/>
        </w:numPr>
        <w:spacing w:before="120" w:after="120" w:line="288" w:lineRule="auto"/>
        <w:ind w:left="453"/>
        <w:jc w:val="left"/>
      </w:pPr>
      <w:r>
        <w:rPr>
          <w:rFonts w:eastAsia="等线" w:ascii="Arial" w:cs="Arial" w:hAnsi="Arial"/>
          <w:b w:val="true"/>
          <w:sz w:val="22"/>
        </w:rPr>
        <w:t>长期研发路径</w:t>
      </w:r>
    </w:p>
    <w:p>
      <w:pPr>
        <w:numPr>
          <w:numId w:val="34"/>
        </w:numPr>
        <w:spacing w:before="120" w:after="120" w:line="288" w:lineRule="auto"/>
        <w:ind w:left="907"/>
        <w:jc w:val="left"/>
      </w:pPr>
      <w:r>
        <w:rPr>
          <w:rFonts w:eastAsia="等线" w:ascii="Arial" w:cs="Arial" w:hAnsi="Arial"/>
          <w:sz w:val="22"/>
        </w:rPr>
        <w:t>下一阶段任务：暑期完成当前控制策略落地后，下学期启动多智能体（Agent）协同决策方向研发</w:t>
      </w:r>
    </w:p>
    <w:p>
      <w:pPr>
        <w:numPr>
          <w:numId w:val="35"/>
        </w:numPr>
        <w:spacing w:before="120" w:after="120" w:line="288" w:lineRule="auto"/>
        <w:ind w:left="907"/>
        <w:jc w:val="left"/>
      </w:pPr>
      <w:r>
        <w:rPr>
          <w:rFonts w:eastAsia="等线" w:ascii="Arial" w:cs="Arial" w:hAnsi="Arial"/>
          <w:sz w:val="22"/>
        </w:rPr>
        <w:t>后续研发规划：依次推进储热储能协同控制、孤网协调控制、虚拟电厂电力交易等方向的落地</w:t>
      </w:r>
    </w:p>
    <w:p>
      <w:pPr>
        <w:numPr>
          <w:numId w:val="36"/>
        </w:numPr>
        <w:spacing w:before="120" w:after="120" w:line="288" w:lineRule="auto"/>
        <w:ind w:left="0"/>
        <w:jc w:val="left"/>
      </w:pPr>
      <w:r>
        <w:rPr>
          <w:rFonts w:eastAsia="等线" w:ascii="Arial" w:cs="Arial" w:hAnsi="Arial"/>
          <w:b w:val="true"/>
          <w:sz w:val="22"/>
        </w:rPr>
        <w:t>研发管理与价值导向</w:t>
      </w:r>
    </w:p>
    <w:p>
      <w:pPr>
        <w:numPr>
          <w:numId w:val="37"/>
        </w:numPr>
        <w:spacing w:before="120" w:after="120" w:line="288" w:lineRule="auto"/>
        <w:ind w:left="453"/>
        <w:jc w:val="left"/>
      </w:pPr>
      <w:r>
        <w:rPr>
          <w:rFonts w:eastAsia="等线" w:ascii="Arial" w:cs="Arial" w:hAnsi="Arial"/>
          <w:b w:val="true"/>
          <w:sz w:val="22"/>
        </w:rPr>
        <w:t>办公管理机制</w:t>
      </w:r>
    </w:p>
    <w:p>
      <w:pPr>
        <w:numPr>
          <w:numId w:val="38"/>
        </w:numPr>
        <w:spacing w:before="120" w:after="120" w:line="288" w:lineRule="auto"/>
        <w:ind w:left="907"/>
        <w:jc w:val="left"/>
      </w:pPr>
      <w:r>
        <w:rPr>
          <w:rFonts w:eastAsia="等线" w:ascii="Arial" w:cs="Arial" w:hAnsi="Arial"/>
          <w:sz w:val="22"/>
        </w:rPr>
        <w:t>实验室权限开放：实验室权限已开放，成员可随时自主进入办公，无需等待负责人到场，日常问题直接对接</w:t>
      </w:r>
    </w:p>
    <w:p>
      <w:pPr>
        <w:numPr>
          <w:numId w:val="39"/>
        </w:numPr>
        <w:spacing w:before="120" w:after="120" w:line="288" w:lineRule="auto"/>
        <w:ind w:left="907"/>
        <w:jc w:val="left"/>
      </w:pPr>
      <w:r>
        <w:rPr>
          <w:rFonts w:eastAsia="等线" w:ascii="Arial" w:cs="Arial" w:hAnsi="Arial"/>
          <w:sz w:val="22"/>
        </w:rPr>
        <w:t>考勤考核规则：不强制固定考勤，仅需保障每周有明确可交付的进度成果即可，无额外考核压力</w:t>
      </w:r>
    </w:p>
    <w:p>
      <w:pPr>
        <w:numPr>
          <w:numId w:val="40"/>
        </w:numPr>
        <w:spacing w:before="120" w:after="120" w:line="288" w:lineRule="auto"/>
        <w:ind w:left="453"/>
        <w:jc w:val="left"/>
      </w:pPr>
      <w:r>
        <w:rPr>
          <w:rFonts w:eastAsia="等线" w:ascii="Arial" w:cs="Arial" w:hAnsi="Arial"/>
          <w:b w:val="true"/>
          <w:sz w:val="22"/>
        </w:rPr>
        <w:t>研发原则要求</w:t>
      </w:r>
    </w:p>
    <w:p>
      <w:pPr>
        <w:numPr>
          <w:numId w:val="41"/>
        </w:numPr>
        <w:spacing w:before="120" w:after="120" w:line="288" w:lineRule="auto"/>
        <w:ind w:left="907"/>
        <w:jc w:val="left"/>
      </w:pPr>
      <w:r>
        <w:rPr>
          <w:rFonts w:eastAsia="等线" w:ascii="Arial" w:cs="Arial" w:hAnsi="Arial"/>
          <w:sz w:val="22"/>
        </w:rPr>
        <w:t>单点深耕原则：坚持「单点做透」原则，避免好高骛远同时推进多个方向，单一领域做深即可形成核心竞争力</w:t>
      </w:r>
    </w:p>
    <w:p>
      <w:pPr>
        <w:numPr>
          <w:numId w:val="42"/>
        </w:numPr>
        <w:spacing w:before="120" w:after="120" w:line="288" w:lineRule="auto"/>
        <w:ind w:left="907"/>
        <w:jc w:val="left"/>
      </w:pPr>
      <w:r>
        <w:rPr>
          <w:rFonts w:eastAsia="等线" w:ascii="Arial" w:cs="Arial" w:hAnsi="Arial"/>
          <w:sz w:val="22"/>
        </w:rPr>
        <w:t>最小单元优先：优先从可验证的最小单元入手，避免开发逻辑不可控、无法核验的复杂系统</w:t>
      </w:r>
    </w:p>
    <w:p>
      <w:pPr>
        <w:numPr>
          <w:numId w:val="43"/>
        </w:numPr>
        <w:spacing w:before="120" w:after="120" w:line="288" w:lineRule="auto"/>
        <w:ind w:left="907"/>
        <w:jc w:val="left"/>
      </w:pPr>
      <w:r>
        <w:rPr>
          <w:rFonts w:eastAsia="等线" w:ascii="Arial" w:cs="Arial" w:hAnsi="Arial"/>
          <w:sz w:val="22"/>
        </w:rPr>
        <w:t>落地导向原则：所有研发需紧扣真实需求，优先落地可验证的实体项目，杜绝无落地价值的虚浮研究</w:t>
      </w:r>
    </w:p>
    <w:p>
      <w:pPr>
        <w:numPr>
          <w:numId w:val="44"/>
        </w:numPr>
        <w:spacing w:before="120" w:after="120" w:line="288" w:lineRule="auto"/>
        <w:ind w:left="453"/>
        <w:jc w:val="left"/>
      </w:pPr>
      <w:r>
        <w:rPr>
          <w:rFonts w:eastAsia="等线" w:ascii="Arial" w:cs="Arial" w:hAnsi="Arial"/>
          <w:b w:val="true"/>
          <w:sz w:val="22"/>
        </w:rPr>
        <w:t>产业化支持政策</w:t>
      </w:r>
      <w:r>
        <w:rPr>
          <w:rFonts w:eastAsia="等线" w:ascii="Arial" w:cs="Arial" w:hAnsi="Arial"/>
          <w:sz w:val="22"/>
        </w:rPr>
        <w:t>：若成员有自主创业意向，团队可对接投资、市场资源，支持核心技术的产业化落地</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智能章节</w:t>
      </w:r>
      <w:bookmarkEnd w:id="1"/>
    </w:p>
    <w:p>
      <w:pPr>
        <w:spacing w:before="120" w:after="120" w:line="288" w:lineRule="auto"/>
        <w:ind w:left="0"/>
        <w:jc w:val="left"/>
      </w:pPr>
      <w:r>
        <w:rPr>
          <w:rFonts w:eastAsia="等线" w:ascii="Arial" w:cs="Arial" w:hAnsi="Arial"/>
          <w:sz w:val="22"/>
        </w:rPr>
        <w:t>00:03</w:t>
      </w:r>
      <w:r>
        <w:rPr>
          <w:rFonts w:eastAsia="等线" w:ascii="Arial" w:cs="Arial" w:hAnsi="Arial"/>
          <w:b w:val="true"/>
          <w:sz w:val="22"/>
        </w:rPr>
        <w:t xml:space="preserve">  控制系统项目架构说明与暑期工作安排</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控制系统开发架构说明，明确杨师兄已做好现场数据采集、唐师兄已做好104协议编解码，无需开发通讯模块，核心需掌握实现共享内存，各策略、界面、通讯线程均通过共享内存交互，核心任务是暑期调优完善控制策略，补足行业专业知识支撑对接客户。</w:t>
            </w:r>
          </w:p>
        </w:tc>
      </w:tr>
    </w:tbl>
    <w:p>
      <w:pPr>
        <w:spacing w:before="120" w:after="120" w:line="288" w:lineRule="auto"/>
        <w:ind w:left="0"/>
        <w:jc w:val="left"/>
      </w:pPr>
      <w:r>
        <w:rPr>
          <w:rFonts w:eastAsia="等线" w:ascii="Arial" w:cs="Arial" w:hAnsi="Arial"/>
          <w:sz w:val="22"/>
        </w:rPr>
        <w:t>06:51</w:t>
      </w:r>
      <w:r>
        <w:rPr>
          <w:rFonts w:eastAsia="等线" w:ascii="Arial" w:cs="Arial" w:hAnsi="Arial"/>
          <w:b w:val="true"/>
          <w:sz w:val="22"/>
        </w:rPr>
        <w:t xml:space="preserve">  暑假期间光伏风电相关产品研发工作安排</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明确暑假核心任务是用一个半月时间完成架构实现并产出成熟产品，要求测试各策略时留存好各工况的独立测试用例数据，供中煤方核定策略落地可行性，每周二上午九点将汇报策略、代码进展，策略测完备后可对接唐振，一两周内就能完成产品集成，光伏方向两人负责IBC模块可协作分工，其余人负责风电相关任务。</w:t>
            </w:r>
          </w:p>
        </w:tc>
      </w:tr>
    </w:tbl>
    <w:p>
      <w:pPr>
        <w:spacing w:before="120" w:after="120" w:line="288" w:lineRule="auto"/>
        <w:ind w:left="0"/>
        <w:jc w:val="left"/>
      </w:pPr>
      <w:r>
        <w:rPr>
          <w:rFonts w:eastAsia="等线" w:ascii="Arial" w:cs="Arial" w:hAnsi="Arial"/>
          <w:sz w:val="22"/>
        </w:rPr>
        <w:t>09:54</w:t>
      </w:r>
      <w:r>
        <w:rPr>
          <w:rFonts w:eastAsia="等线" w:ascii="Arial" w:cs="Arial" w:hAnsi="Arial"/>
          <w:b w:val="true"/>
          <w:sz w:val="22"/>
        </w:rPr>
        <w:t xml:space="preserve">  系统基础架构与分步开发要点讲解</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讲解了代码核心架构：以大while循环为基础，依托共享内存对接通讯交互程序，搭配状态机调用不同策略，循环实现信息接收、决策输出。延伸提及类机器人架构对应连续累积最优化问题，可结合强化学习，还给出了从简易原型、模拟器搭建起步的分步开发实操指引。</w:t>
            </w:r>
          </w:p>
        </w:tc>
      </w:tr>
    </w:tbl>
    <w:p>
      <w:pPr>
        <w:spacing w:before="120" w:after="120" w:line="288" w:lineRule="auto"/>
        <w:ind w:left="0"/>
        <w:jc w:val="left"/>
      </w:pPr>
      <w:r>
        <w:rPr>
          <w:rFonts w:eastAsia="等线" w:ascii="Arial" w:cs="Arial" w:hAnsi="Arial"/>
          <w:sz w:val="22"/>
        </w:rPr>
        <w:t>14:49</w:t>
      </w:r>
      <w:r>
        <w:rPr>
          <w:rFonts w:eastAsia="等线" w:ascii="Arial" w:cs="Arial" w:hAnsi="Arial"/>
          <w:b w:val="true"/>
          <w:sz w:val="22"/>
        </w:rPr>
        <w:t xml:space="preserve">  安排假期研发任务及实验室使用相关说明</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明确团队日常安排，要求每人每周汇报产品研发及指定论文的进展，固定每周安排一天开展周会，平时有问题可直接单线沟通，还将共享不对外公开的场地通行权限，告知大家暑期聚焦手头核心工作，后续再推进agent相关任务，强调做事要深耕做透、切忌好高骛远。</w:t>
            </w:r>
          </w:p>
        </w:tc>
      </w:tr>
    </w:tbl>
    <w:p>
      <w:pPr>
        <w:spacing w:before="120" w:after="120" w:line="288" w:lineRule="auto"/>
        <w:ind w:left="0"/>
        <w:jc w:val="left"/>
      </w:pPr>
      <w:r>
        <w:rPr>
          <w:rFonts w:eastAsia="等线" w:ascii="Arial" w:cs="Arial" w:hAnsi="Arial"/>
          <w:sz w:val="22"/>
        </w:rPr>
        <w:t>18:09</w:t>
      </w:r>
      <w:r>
        <w:rPr>
          <w:rFonts w:eastAsia="等线" w:ascii="Arial" w:cs="Arial" w:hAnsi="Arial"/>
          <w:b w:val="true"/>
          <w:sz w:val="22"/>
        </w:rPr>
        <w:t xml:space="preserve">  电力电子领域前沿研究方向及后续安排说明</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讲解了电力电子装备中的跟网型、孤网型逆变器的核心差异，点明当下工业界协调控制领域的核心难点是多台构网型逆变器的协同，团队已有相关落地方案，后续将推进储能储热协同控制研究，待天晴将带成员前往邻村工厂实地参观2吨重的储热罐，同时指出行业两大前沿方向为构网型相关技术设备、电力领域与AI的结合。</w:t>
            </w:r>
          </w:p>
        </w:tc>
      </w:tr>
    </w:tbl>
    <w:p>
      <w:pPr>
        <w:spacing w:before="120" w:after="120" w:line="288" w:lineRule="auto"/>
        <w:ind w:left="0"/>
        <w:jc w:val="left"/>
      </w:pPr>
      <w:r>
        <w:rPr>
          <w:rFonts w:eastAsia="等线" w:ascii="Arial" w:cs="Arial" w:hAnsi="Arial"/>
          <w:sz w:val="22"/>
        </w:rPr>
        <w:t>21:01</w:t>
      </w:r>
      <w:r>
        <w:rPr>
          <w:rFonts w:eastAsia="等线" w:ascii="Arial" w:cs="Arial" w:hAnsi="Arial"/>
          <w:b w:val="true"/>
          <w:sz w:val="22"/>
        </w:rPr>
        <w:t xml:space="preserve">  讲解当前用电需求集中的几大重点领域</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先是说话人1告知在场人员可自行取用电脑电源，缺电时自行找现场插线板无需询问他人，随后围绕用电趋势展开讲解，指出当前用电需求最高的领域对应行业发展方向，提及交通领域的充换电、家庭端的HEMS系统以及正在推进的P2X这三大电气化改造相关重点方向。</w:t>
            </w:r>
          </w:p>
        </w:tc>
      </w:tr>
    </w:tbl>
    <w:p>
      <w:pPr>
        <w:spacing w:before="120" w:after="120" w:line="288" w:lineRule="auto"/>
        <w:ind w:left="0"/>
        <w:jc w:val="left"/>
      </w:pPr>
      <w:r>
        <w:rPr>
          <w:rFonts w:eastAsia="等线" w:ascii="Arial" w:cs="Arial" w:hAnsi="Arial"/>
          <w:sz w:val="22"/>
        </w:rPr>
        <w:t>23:18</w:t>
      </w:r>
      <w:r>
        <w:rPr>
          <w:rFonts w:eastAsia="等线" w:ascii="Arial" w:cs="Arial" w:hAnsi="Arial"/>
          <w:b w:val="true"/>
          <w:sz w:val="22"/>
        </w:rPr>
        <w:t xml:space="preserve">  数据中心电源相关方向及策略后续汇报安排</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提及受AI高用电需求驱动，原有数据中心电源相关领域后续改造力度很大，叠加全行业推进节能降碳的大背景，该赛道具备广阔应用场景，相关人员可重点关注；同时明确若相关策略推进情况良好，后续将在每周下午与周梅的会议上，安排对应人员参照此前小卓的形式同步进展。</w:t>
            </w:r>
          </w:p>
        </w:tc>
      </w:tr>
    </w:tbl>
    <w:p>
      <w:pPr>
        <w:spacing w:before="120" w:after="120" w:line="288" w:lineRule="auto"/>
        <w:ind w:left="0"/>
        <w:jc w:val="left"/>
      </w:pPr>
      <w:r>
        <w:rPr>
          <w:rFonts w:eastAsia="等线" w:ascii="Arial" w:cs="Arial" w:hAnsi="Arial"/>
          <w:sz w:val="22"/>
        </w:rPr>
        <w:t>26:24</w:t>
      </w:r>
      <w:r>
        <w:rPr>
          <w:rFonts w:eastAsia="等线" w:ascii="Arial" w:cs="Arial" w:hAnsi="Arial"/>
          <w:b w:val="true"/>
          <w:sz w:val="22"/>
        </w:rPr>
        <w:t xml:space="preserve">  实验室相关项目背景说明及工作安排</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实验室两大落地项目，一是鄂尔多斯总投40多亿的液态阳光项目，负责风光发电到制氢段的调控，现有基础平台仅需新增应对风光不确定性的调控策略，二是锡林郭勒盟风光制热储热民生示范项目，同时点明工业应用需找准效率提升场景算清经济账，最后告知相关代码可向唐震索要参考。</w:t>
            </w:r>
          </w:p>
        </w:tc>
      </w:tr>
    </w:tbl>
    <w:p>
      <w:pPr>
        <w:spacing w:before="120" w:after="120" w:line="288" w:lineRule="auto"/>
        <w:ind w:left="0"/>
        <w:jc w:val="left"/>
      </w:pPr>
      <w:r>
        <w:rPr>
          <w:rFonts w:eastAsia="等线" w:ascii="Arial" w:cs="Arial" w:hAnsi="Arial"/>
          <w:sz w:val="22"/>
        </w:rPr>
        <w:t>35:24</w:t>
      </w:r>
      <w:r>
        <w:rPr>
          <w:rFonts w:eastAsia="等线" w:ascii="Arial" w:cs="Arial" w:hAnsi="Arial"/>
          <w:b w:val="true"/>
          <w:sz w:val="22"/>
        </w:rPr>
        <w:t xml:space="preserve">  介绍江西智能电网相关科研项目及实验室培养规则</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实验室参与总经费3000万的江西智能电网2026-2027年重点科研项目，共含6项研究内容，明确当前先做储能相关的课题三、后续推进智谱大模型相关的多智能体课题四，提及下周将赴江苏大屯现场，同时说明实验室管理宽松不强制打卡，仅要求每周产出对应成果。</w:t>
            </w:r>
          </w:p>
        </w:tc>
      </w:tr>
    </w:tbl>
    <w:p>
      <w:pPr>
        <w:spacing w:before="120" w:after="120" w:line="288" w:lineRule="auto"/>
        <w:ind w:left="0"/>
        <w:jc w:val="left"/>
      </w:pPr>
      <w:r>
        <w:rPr>
          <w:rFonts w:eastAsia="等线" w:ascii="Arial" w:cs="Arial" w:hAnsi="Arial"/>
          <w:sz w:val="22"/>
        </w:rPr>
        <w:t>42:19</w:t>
      </w:r>
      <w:r>
        <w:rPr>
          <w:rFonts w:eastAsia="等线" w:ascii="Arial" w:cs="Arial" w:hAnsi="Arial"/>
          <w:b w:val="true"/>
          <w:sz w:val="22"/>
        </w:rPr>
        <w:t xml:space="preserve">  强调落地解决真实需求及后续科研推进安排</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明确相关项目需循序渐进推进，先吃透AGC、AVC控制逻辑，后续依次研究协同控制、多智能体、虚拟电厂相关内容，强调科研要落地解决真实需求，当前正在推进低成本储热罐相关项目产业化，还提及有落地经验拿到3000余万的光伏预测项目，愿支持有意愿的学生对接资源创业。</w:t>
            </w:r>
          </w:p>
        </w:tc>
      </w:tr>
    </w:tbl>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关键决策</w:t>
      </w:r>
      <w:bookmarkEnd w:id="2"/>
    </w:p>
    <w:p>
      <w:pPr>
        <w:numPr>
          <w:numId w:val="45"/>
        </w:numPr>
        <w:spacing w:before="120" w:after="120" w:line="288" w:lineRule="auto"/>
        <w:ind w:left="0"/>
        <w:jc w:val="left"/>
      </w:pPr>
      <w:r>
        <w:rPr>
          <w:rFonts w:eastAsia="等线" w:ascii="Arial" w:cs="Arial" w:hAnsi="Arial"/>
          <w:b w:val="true"/>
          <w:sz w:val="22"/>
        </w:rPr>
        <w:t>关键决策</w:t>
      </w:r>
      <w:r>
        <w:rPr>
          <w:rFonts w:eastAsia="等线" w:ascii="Arial" w:cs="Arial" w:hAnsi="Arial"/>
          <w:sz w:val="22"/>
        </w:rPr>
        <w:t>：参会人员需在 1.5 个月的暑假期间完成控制策略的调试、测试及对应产品架构的落地实现</w:t>
      </w:r>
    </w:p>
    <w:p>
      <w:pPr>
        <w:numPr>
          <w:numId w:val="46"/>
        </w:numPr>
        <w:spacing w:before="120" w:after="120" w:line="288" w:lineRule="auto"/>
        <w:ind w:left="453"/>
        <w:jc w:val="left"/>
      </w:pPr>
      <w:r>
        <w:rPr>
          <w:rFonts w:eastAsia="等线" w:ascii="Arial" w:cs="Arial" w:hAnsi="Arial"/>
          <w:b w:val="true"/>
          <w:sz w:val="22"/>
        </w:rPr>
        <w:t>问题</w:t>
      </w:r>
      <w:r>
        <w:rPr>
          <w:rFonts w:eastAsia="等线" w:ascii="Arial" w:cs="Arial" w:hAnsi="Arial"/>
          <w:sz w:val="22"/>
        </w:rPr>
        <w:t>：需明确暑假期间团队核心工作方向与落地要求，保障后续项目对接与验收符合工业落地标准</w:t>
      </w:r>
    </w:p>
    <w:p>
      <w:pPr>
        <w:numPr>
          <w:numId w:val="47"/>
        </w:numPr>
        <w:spacing w:before="120" w:after="120" w:line="288" w:lineRule="auto"/>
        <w:ind w:left="453"/>
        <w:jc w:val="left"/>
      </w:pPr>
      <w:r>
        <w:rPr>
          <w:rFonts w:eastAsia="等线" w:ascii="Arial" w:cs="Arial" w:hAnsi="Arial"/>
          <w:b w:val="true"/>
          <w:sz w:val="22"/>
        </w:rPr>
        <w:t>讨论方案</w:t>
      </w:r>
      <w:r>
        <w:rPr>
          <w:rFonts w:eastAsia="等线" w:ascii="Arial" w:cs="Arial" w:hAnsi="Arial"/>
          <w:sz w:val="22"/>
        </w:rPr>
        <w:t>：</w:t>
      </w:r>
    </w:p>
    <w:p>
      <w:pPr>
        <w:numPr>
          <w:numId w:val="48"/>
        </w:numPr>
        <w:spacing w:before="120" w:after="120" w:line="288" w:lineRule="auto"/>
        <w:ind w:left="907"/>
        <w:jc w:val="left"/>
      </w:pPr>
      <w:r>
        <w:rPr>
          <w:rFonts w:eastAsia="等线" w:ascii="Arial" w:cs="Arial" w:hAnsi="Arial"/>
          <w:sz w:val="22"/>
        </w:rPr>
        <w:t>说话人1提出参会人员需优先完成共享内存实现、各控制策略的全工况测试并留存规范测试用例，无需提前开发界面，后续由对应团队统一对接</w:t>
      </w:r>
    </w:p>
    <w:p>
      <w:pPr>
        <w:numPr>
          <w:numId w:val="49"/>
        </w:numPr>
        <w:spacing w:before="120" w:after="120" w:line="288" w:lineRule="auto"/>
        <w:ind w:left="907"/>
        <w:jc w:val="left"/>
      </w:pPr>
      <w:r>
        <w:rPr>
          <w:rFonts w:eastAsia="等线" w:ascii="Arial" w:cs="Arial" w:hAnsi="Arial"/>
          <w:sz w:val="22"/>
        </w:rPr>
        <w:t>说话人1提出每周二上午固定开展进度同步会，策略测试完成后对接唐振师兄完成产品集成，1 - 2 周即可完成上线</w:t>
      </w:r>
    </w:p>
    <w:p>
      <w:pPr>
        <w:numPr>
          <w:numId w:val="50"/>
        </w:numPr>
        <w:spacing w:before="120" w:after="120" w:line="288" w:lineRule="auto"/>
        <w:ind w:left="907"/>
        <w:jc w:val="left"/>
      </w:pPr>
      <w:r>
        <w:rPr>
          <w:rFonts w:eastAsia="等线" w:ascii="Arial" w:cs="Arial" w:hAnsi="Arial"/>
          <w:sz w:val="22"/>
        </w:rPr>
        <w:t>说话人1提出参会人员需同步补充行业相关知识，保障可直接对接客户沟通需求</w:t>
      </w:r>
    </w:p>
    <w:p>
      <w:pPr>
        <w:numPr>
          <w:numId w:val="51"/>
        </w:numPr>
        <w:spacing w:before="120" w:after="120" w:line="288" w:lineRule="auto"/>
        <w:ind w:left="453"/>
        <w:jc w:val="left"/>
      </w:pPr>
      <w:r>
        <w:rPr>
          <w:rFonts w:eastAsia="等线" w:ascii="Arial" w:cs="Arial" w:hAnsi="Arial"/>
          <w:b w:val="true"/>
          <w:sz w:val="22"/>
        </w:rPr>
        <w:t>决策依据</w:t>
      </w:r>
      <w:r>
        <w:rPr>
          <w:rFonts w:eastAsia="等线" w:ascii="Arial" w:cs="Arial" w:hAnsi="Arial"/>
          <w:sz w:val="22"/>
        </w:rPr>
        <w:t>：工业项目落地要求严谨的测试验证，且现有通讯、104 协议等基础模块已由师兄团队开发完成，核心工作聚焦策略打磨可保障暑假周期内完成可交付成果</w:t>
      </w:r>
    </w:p>
    <w:p>
      <w:pPr>
        <w:numPr>
          <w:numId w:val="52"/>
        </w:numPr>
        <w:spacing w:before="120" w:after="120" w:line="288" w:lineRule="auto"/>
        <w:ind w:left="0"/>
        <w:jc w:val="left"/>
      </w:pPr>
      <w:r>
        <w:rPr>
          <w:rFonts w:eastAsia="等线" w:ascii="Arial" w:cs="Arial" w:hAnsi="Arial"/>
          <w:b w:val="true"/>
          <w:sz w:val="22"/>
        </w:rPr>
        <w:t>其他决策</w:t>
      </w:r>
      <w:r>
        <w:rPr>
          <w:rFonts w:eastAsia="等线" w:ascii="Arial" w:cs="Arial" w:hAnsi="Arial"/>
          <w:sz w:val="22"/>
        </w:rPr>
        <w:t>：</w:t>
      </w:r>
    </w:p>
    <w:p>
      <w:pPr>
        <w:numPr>
          <w:numId w:val="53"/>
        </w:numPr>
        <w:spacing w:before="120" w:after="120" w:line="288" w:lineRule="auto"/>
        <w:ind w:left="453"/>
        <w:jc w:val="left"/>
      </w:pPr>
      <w:r>
        <w:rPr>
          <w:rFonts w:eastAsia="等线" w:ascii="Arial" w:cs="Arial" w:hAnsi="Arial"/>
          <w:sz w:val="22"/>
        </w:rPr>
        <w:t>今日需完成共享内存的学习及对应代码实现，可借助 AI 生成或找唐振师兄获取参考代码</w:t>
      </w:r>
    </w:p>
    <w:p>
      <w:pPr>
        <w:numPr>
          <w:numId w:val="54"/>
        </w:numPr>
        <w:spacing w:before="120" w:after="120" w:line="288" w:lineRule="auto"/>
        <w:ind w:left="453"/>
        <w:jc w:val="left"/>
      </w:pPr>
      <w:r>
        <w:rPr>
          <w:rFonts w:eastAsia="等线" w:ascii="Arial" w:cs="Arial" w:hAnsi="Arial"/>
          <w:sz w:val="22"/>
        </w:rPr>
        <w:t>多 IBC 方向参会人员可协作开发无需重复造轮子，分别推进光伏、风电相关策略</w:t>
      </w:r>
    </w:p>
    <w:p>
      <w:pPr>
        <w:numPr>
          <w:numId w:val="55"/>
        </w:numPr>
        <w:spacing w:before="120" w:after="120" w:line="288" w:lineRule="auto"/>
        <w:ind w:left="453"/>
        <w:jc w:val="left"/>
      </w:pPr>
      <w:r>
        <w:rPr>
          <w:rFonts w:eastAsia="等线" w:ascii="Arial" w:cs="Arial" w:hAnsi="Arial"/>
          <w:sz w:val="22"/>
        </w:rPr>
        <w:t>Agent 相关开发工作延后至下学期开展，无需在暑假安排</w:t>
      </w:r>
    </w:p>
    <w:p>
      <w:pPr>
        <w:numPr>
          <w:numId w:val="56"/>
        </w:numPr>
        <w:spacing w:before="120" w:after="120" w:line="288" w:lineRule="auto"/>
        <w:ind w:left="453"/>
        <w:jc w:val="left"/>
      </w:pPr>
      <w:r>
        <w:rPr>
          <w:rFonts w:eastAsia="等线" w:ascii="Arial" w:cs="Arial" w:hAnsi="Arial"/>
          <w:sz w:val="22"/>
        </w:rPr>
        <w:t>待天气合适后，由说话人1带队前往查看位于附近村落工厂的储热罐设备</w:t>
      </w:r>
    </w:p>
    <w:p>
      <w:pPr>
        <w:numPr>
          <w:numId w:val="57"/>
        </w:numPr>
        <w:spacing w:before="120" w:after="120" w:line="288" w:lineRule="auto"/>
        <w:ind w:left="453"/>
        <w:jc w:val="left"/>
      </w:pPr>
      <w:r>
        <w:rPr>
          <w:rFonts w:eastAsia="等线" w:ascii="Arial" w:cs="Arial" w:hAnsi="Arial"/>
          <w:sz w:val="22"/>
        </w:rPr>
        <w:t>实验室已开放权限，参会人员可随时前往办公，无需等负责人到场</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金句时刻</w:t>
      </w:r>
      <w:bookmarkEnd w:id="3"/>
    </w:p>
    <w:p>
      <w:pPr>
        <w:spacing w:before="120" w:after="120" w:line="288" w:lineRule="auto"/>
        <w:ind w:left="0"/>
        <w:jc w:val="left"/>
      </w:pPr>
      <w:r>
        <w:rPr>
          <w:rFonts w:eastAsia="等线" w:ascii="Arial" w:cs="Arial" w:hAnsi="Arial"/>
          <w:sz w:val="22"/>
        </w:rPr>
        <w:t>「老师这么多年的经验就是做一件事情，把它做透了，做穿了。」</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点明了项目研发的核心方法论，对参会人员的工作优先级安排有明确指导意义</w:t>
      </w:r>
    </w:p>
    <w:p>
      <w:pPr>
        <w:spacing w:before="120" w:after="120" w:line="288" w:lineRule="auto"/>
        <w:ind w:left="0"/>
        <w:jc w:val="left"/>
      </w:pPr>
    </w:p>
    <w:p>
      <w:pPr>
        <w:spacing w:before="120" w:after="120" w:line="288" w:lineRule="auto"/>
        <w:ind w:left="0"/>
        <w:jc w:val="left"/>
      </w:pPr>
      <w:r>
        <w:rPr>
          <w:rFonts w:eastAsia="等线" w:ascii="Arial" w:cs="Arial" w:hAnsi="Arial"/>
          <w:sz w:val="22"/>
        </w:rPr>
        <w:t>「软件和系统它本质是解决的是效率问题，它不能解决有无问题，但它是解决效率问题。」</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清晰阐释了软件系统的核心价值逻辑，帮助参会人员理解项目的商业与落地本质</w:t>
      </w:r>
    </w:p>
    <w:p>
      <w:pPr>
        <w:spacing w:before="120" w:after="120" w:line="288" w:lineRule="auto"/>
        <w:ind w:left="0"/>
        <w:jc w:val="left"/>
      </w:pPr>
    </w:p>
    <w:p>
      <w:pPr>
        <w:spacing w:before="120" w:after="120" w:line="288" w:lineRule="auto"/>
        <w:ind w:left="0"/>
        <w:jc w:val="left"/>
      </w:pPr>
      <w:r>
        <w:rPr>
          <w:rFonts w:eastAsia="等线" w:ascii="Arial" w:cs="Arial" w:hAnsi="Arial"/>
          <w:sz w:val="22"/>
        </w:rPr>
        <w:t>「什么叫做把科研写在祖国大地上？这就是，你要真正去解决问题，不管是工业问题也好，民生问题也好，你要去真正解决问题，不是做一个虚的，一个假的科研。」</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明确了科研落地的核心评判标准，为参会人员后续的研究方向提供了底层判断依据</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71516">
    <w:lvl>
      <w:numFmt w:val="bullet"/>
      <w:suff w:val="tab"/>
      <w:lvlText w:val="•"/>
      <w:rPr>
        <w:color w:val="3370ff"/>
      </w:rPr>
    </w:lvl>
  </w:abstractNum>
  <w:abstractNum w:abstractNumId="71517">
    <w:lvl>
      <w:numFmt w:val="bullet"/>
      <w:suff w:val="tab"/>
      <w:lvlText w:val="•"/>
      <w:rPr>
        <w:color w:val="3370ff"/>
      </w:rPr>
    </w:lvl>
  </w:abstractNum>
  <w:abstractNum w:abstractNumId="71518">
    <w:lvl>
      <w:numFmt w:val="bullet"/>
      <w:suff w:val="tab"/>
      <w:lvlText w:val="￮"/>
      <w:rPr>
        <w:color w:val="3370ff"/>
      </w:rPr>
    </w:lvl>
  </w:abstractNum>
  <w:abstractNum w:abstractNumId="71519">
    <w:lvl>
      <w:numFmt w:val="bullet"/>
      <w:suff w:val="tab"/>
      <w:lvlText w:val="￮"/>
      <w:rPr>
        <w:color w:val="3370ff"/>
      </w:rPr>
    </w:lvl>
  </w:abstractNum>
  <w:abstractNum w:abstractNumId="71520">
    <w:lvl>
      <w:numFmt w:val="bullet"/>
      <w:suff w:val="tab"/>
      <w:lvlText w:val="￮"/>
      <w:rPr>
        <w:color w:val="3370ff"/>
      </w:rPr>
    </w:lvl>
  </w:abstractNum>
  <w:abstractNum w:abstractNumId="71521">
    <w:lvl>
      <w:numFmt w:val="bullet"/>
      <w:suff w:val="tab"/>
      <w:lvlText w:val="▪"/>
      <w:rPr>
        <w:color w:val="3370ff"/>
        <w:sz w:val="11"/>
      </w:rPr>
    </w:lvl>
  </w:abstractNum>
  <w:abstractNum w:abstractNumId="71522">
    <w:lvl>
      <w:numFmt w:val="bullet"/>
      <w:suff w:val="tab"/>
      <w:lvlText w:val="▪"/>
      <w:rPr>
        <w:color w:val="3370ff"/>
        <w:sz w:val="11"/>
      </w:rPr>
    </w:lvl>
  </w:abstractNum>
  <w:abstractNum w:abstractNumId="71523">
    <w:lvl>
      <w:numFmt w:val="bullet"/>
      <w:suff w:val="tab"/>
      <w:lvlText w:val="▪"/>
      <w:rPr>
        <w:color w:val="3370ff"/>
        <w:sz w:val="11"/>
      </w:rPr>
    </w:lvl>
  </w:abstractNum>
  <w:abstractNum w:abstractNumId="71524">
    <w:lvl>
      <w:numFmt w:val="bullet"/>
      <w:suff w:val="tab"/>
      <w:lvlText w:val="￮"/>
      <w:rPr>
        <w:color w:val="3370ff"/>
      </w:rPr>
    </w:lvl>
  </w:abstractNum>
  <w:abstractNum w:abstractNumId="71525">
    <w:lvl>
      <w:numFmt w:val="bullet"/>
      <w:suff w:val="tab"/>
      <w:lvlText w:val="▪"/>
      <w:rPr>
        <w:color w:val="3370ff"/>
        <w:sz w:val="11"/>
      </w:rPr>
    </w:lvl>
  </w:abstractNum>
  <w:abstractNum w:abstractNumId="71526">
    <w:lvl>
      <w:numFmt w:val="bullet"/>
      <w:suff w:val="tab"/>
      <w:lvlText w:val="▪"/>
      <w:rPr>
        <w:color w:val="3370ff"/>
        <w:sz w:val="11"/>
      </w:rPr>
    </w:lvl>
  </w:abstractNum>
  <w:abstractNum w:abstractNumId="71527">
    <w:lvl>
      <w:numFmt w:val="bullet"/>
      <w:suff w:val="tab"/>
      <w:lvlText w:val="▪"/>
      <w:rPr>
        <w:color w:val="3370ff"/>
        <w:sz w:val="11"/>
      </w:rPr>
    </w:lvl>
  </w:abstractNum>
  <w:abstractNum w:abstractNumId="71528">
    <w:lvl>
      <w:numFmt w:val="bullet"/>
      <w:suff w:val="tab"/>
      <w:lvlText w:val="•"/>
      <w:rPr>
        <w:color w:val="3370ff"/>
      </w:rPr>
    </w:lvl>
  </w:abstractNum>
  <w:abstractNum w:abstractNumId="71529">
    <w:lvl>
      <w:numFmt w:val="bullet"/>
      <w:suff w:val="tab"/>
      <w:lvlText w:val="￮"/>
      <w:rPr>
        <w:color w:val="3370ff"/>
      </w:rPr>
    </w:lvl>
  </w:abstractNum>
  <w:abstractNum w:abstractNumId="71530">
    <w:lvl>
      <w:numFmt w:val="bullet"/>
      <w:suff w:val="tab"/>
      <w:lvlText w:val="▪"/>
      <w:rPr>
        <w:color w:val="3370ff"/>
        <w:sz w:val="11"/>
      </w:rPr>
    </w:lvl>
  </w:abstractNum>
  <w:abstractNum w:abstractNumId="71531">
    <w:lvl>
      <w:numFmt w:val="bullet"/>
      <w:suff w:val="tab"/>
      <w:lvlText w:val="▪"/>
      <w:rPr>
        <w:color w:val="3370ff"/>
        <w:sz w:val="11"/>
      </w:rPr>
    </w:lvl>
  </w:abstractNum>
  <w:abstractNum w:abstractNumId="71532">
    <w:lvl>
      <w:numFmt w:val="bullet"/>
      <w:suff w:val="tab"/>
      <w:lvlText w:val="￮"/>
      <w:rPr>
        <w:color w:val="3370ff"/>
      </w:rPr>
    </w:lvl>
  </w:abstractNum>
  <w:abstractNum w:abstractNumId="71533">
    <w:lvl>
      <w:numFmt w:val="bullet"/>
      <w:suff w:val="tab"/>
      <w:lvlText w:val="▪"/>
      <w:rPr>
        <w:color w:val="3370ff"/>
        <w:sz w:val="11"/>
      </w:rPr>
    </w:lvl>
  </w:abstractNum>
  <w:abstractNum w:abstractNumId="71534">
    <w:lvl>
      <w:numFmt w:val="bullet"/>
      <w:suff w:val="tab"/>
      <w:lvlText w:val="▪"/>
      <w:rPr>
        <w:color w:val="3370ff"/>
        <w:sz w:val="11"/>
      </w:rPr>
    </w:lvl>
  </w:abstractNum>
  <w:abstractNum w:abstractNumId="71535">
    <w:lvl>
      <w:numFmt w:val="bullet"/>
      <w:suff w:val="tab"/>
      <w:lvlText w:val="￮"/>
      <w:rPr>
        <w:color w:val="3370ff"/>
      </w:rPr>
    </w:lvl>
  </w:abstractNum>
  <w:abstractNum w:abstractNumId="71536">
    <w:lvl>
      <w:numFmt w:val="bullet"/>
      <w:suff w:val="tab"/>
      <w:lvlText w:val="▪"/>
      <w:rPr>
        <w:color w:val="3370ff"/>
        <w:sz w:val="11"/>
      </w:rPr>
    </w:lvl>
  </w:abstractNum>
  <w:abstractNum w:abstractNumId="71537">
    <w:lvl>
      <w:numFmt w:val="bullet"/>
      <w:suff w:val="tab"/>
      <w:lvlText w:val="▪"/>
      <w:rPr>
        <w:color w:val="3370ff"/>
        <w:sz w:val="11"/>
      </w:rPr>
    </w:lvl>
  </w:abstractNum>
  <w:abstractNum w:abstractNumId="71538">
    <w:lvl>
      <w:numFmt w:val="bullet"/>
      <w:suff w:val="tab"/>
      <w:lvlText w:val="▪"/>
      <w:rPr>
        <w:color w:val="3370ff"/>
        <w:sz w:val="11"/>
      </w:rPr>
    </w:lvl>
  </w:abstractNum>
  <w:abstractNum w:abstractNumId="71539">
    <w:lvl>
      <w:numFmt w:val="bullet"/>
      <w:suff w:val="tab"/>
      <w:lvlText w:val="•"/>
      <w:rPr>
        <w:color w:val="3370ff"/>
      </w:rPr>
    </w:lvl>
  </w:abstractNum>
  <w:abstractNum w:abstractNumId="71540">
    <w:lvl>
      <w:numFmt w:val="bullet"/>
      <w:suff w:val="tab"/>
      <w:lvlText w:val="￮"/>
      <w:rPr>
        <w:color w:val="3370ff"/>
      </w:rPr>
    </w:lvl>
  </w:abstractNum>
  <w:abstractNum w:abstractNumId="71541">
    <w:lvl>
      <w:numFmt w:val="bullet"/>
      <w:suff w:val="tab"/>
      <w:lvlText w:val="▪"/>
      <w:rPr>
        <w:color w:val="3370ff"/>
        <w:sz w:val="11"/>
      </w:rPr>
    </w:lvl>
  </w:abstractNum>
  <w:abstractNum w:abstractNumId="71542">
    <w:lvl>
      <w:numFmt w:val="bullet"/>
      <w:suff w:val="tab"/>
      <w:lvlText w:val="▪"/>
      <w:rPr>
        <w:color w:val="3370ff"/>
        <w:sz w:val="11"/>
      </w:rPr>
    </w:lvl>
  </w:abstractNum>
  <w:abstractNum w:abstractNumId="71543">
    <w:lvl>
      <w:numFmt w:val="bullet"/>
      <w:suff w:val="tab"/>
      <w:lvlText w:val="▪"/>
      <w:rPr>
        <w:color w:val="3370ff"/>
        <w:sz w:val="11"/>
      </w:rPr>
    </w:lvl>
  </w:abstractNum>
  <w:abstractNum w:abstractNumId="71544">
    <w:lvl>
      <w:numFmt w:val="bullet"/>
      <w:suff w:val="tab"/>
      <w:lvlText w:val="￮"/>
      <w:rPr>
        <w:color w:val="3370ff"/>
      </w:rPr>
    </w:lvl>
  </w:abstractNum>
  <w:abstractNum w:abstractNumId="71545">
    <w:lvl>
      <w:numFmt w:val="bullet"/>
      <w:suff w:val="tab"/>
      <w:lvlText w:val="▪"/>
      <w:rPr>
        <w:color w:val="3370ff"/>
        <w:sz w:val="11"/>
      </w:rPr>
    </w:lvl>
  </w:abstractNum>
  <w:abstractNum w:abstractNumId="71546">
    <w:lvl>
      <w:numFmt w:val="bullet"/>
      <w:suff w:val="tab"/>
      <w:lvlText w:val="▪"/>
      <w:rPr>
        <w:color w:val="3370ff"/>
        <w:sz w:val="11"/>
      </w:rPr>
    </w:lvl>
  </w:abstractNum>
  <w:abstractNum w:abstractNumId="71547">
    <w:lvl>
      <w:numFmt w:val="bullet"/>
      <w:suff w:val="tab"/>
      <w:lvlText w:val="▪"/>
      <w:rPr>
        <w:color w:val="3370ff"/>
        <w:sz w:val="11"/>
      </w:rPr>
    </w:lvl>
  </w:abstractNum>
  <w:abstractNum w:abstractNumId="71548">
    <w:lvl>
      <w:numFmt w:val="bullet"/>
      <w:suff w:val="tab"/>
      <w:lvlText w:val="￮"/>
      <w:rPr>
        <w:color w:val="3370ff"/>
      </w:rPr>
    </w:lvl>
  </w:abstractNum>
  <w:abstractNum w:abstractNumId="71549">
    <w:lvl>
      <w:numFmt w:val="bullet"/>
      <w:suff w:val="tab"/>
      <w:lvlText w:val="▪"/>
      <w:rPr>
        <w:color w:val="3370ff"/>
        <w:sz w:val="11"/>
      </w:rPr>
    </w:lvl>
  </w:abstractNum>
  <w:abstractNum w:abstractNumId="71550">
    <w:lvl>
      <w:numFmt w:val="bullet"/>
      <w:suff w:val="tab"/>
      <w:lvlText w:val="▪"/>
      <w:rPr>
        <w:color w:val="3370ff"/>
        <w:sz w:val="11"/>
      </w:rPr>
    </w:lvl>
  </w:abstractNum>
  <w:abstractNum w:abstractNumId="71551">
    <w:lvl>
      <w:numFmt w:val="bullet"/>
      <w:suff w:val="tab"/>
      <w:lvlText w:val="•"/>
      <w:rPr>
        <w:color w:val="3370ff"/>
      </w:rPr>
    </w:lvl>
  </w:abstractNum>
  <w:abstractNum w:abstractNumId="71552">
    <w:lvl>
      <w:numFmt w:val="bullet"/>
      <w:suff w:val="tab"/>
      <w:lvlText w:val="￮"/>
      <w:rPr>
        <w:color w:val="3370ff"/>
      </w:rPr>
    </w:lvl>
  </w:abstractNum>
  <w:abstractNum w:abstractNumId="71553">
    <w:lvl>
      <w:numFmt w:val="bullet"/>
      <w:suff w:val="tab"/>
      <w:lvlText w:val="▪"/>
      <w:rPr>
        <w:color w:val="3370ff"/>
        <w:sz w:val="11"/>
      </w:rPr>
    </w:lvl>
  </w:abstractNum>
  <w:abstractNum w:abstractNumId="71554">
    <w:lvl>
      <w:numFmt w:val="bullet"/>
      <w:suff w:val="tab"/>
      <w:lvlText w:val="▪"/>
      <w:rPr>
        <w:color w:val="3370ff"/>
        <w:sz w:val="11"/>
      </w:rPr>
    </w:lvl>
  </w:abstractNum>
  <w:abstractNum w:abstractNumId="71555">
    <w:lvl>
      <w:numFmt w:val="bullet"/>
      <w:suff w:val="tab"/>
      <w:lvlText w:val="￮"/>
      <w:rPr>
        <w:color w:val="3370ff"/>
      </w:rPr>
    </w:lvl>
  </w:abstractNum>
  <w:abstractNum w:abstractNumId="71556">
    <w:lvl>
      <w:numFmt w:val="bullet"/>
      <w:suff w:val="tab"/>
      <w:lvlText w:val="▪"/>
      <w:rPr>
        <w:color w:val="3370ff"/>
        <w:sz w:val="11"/>
      </w:rPr>
    </w:lvl>
  </w:abstractNum>
  <w:abstractNum w:abstractNumId="71557">
    <w:lvl>
      <w:numFmt w:val="bullet"/>
      <w:suff w:val="tab"/>
      <w:lvlText w:val="▪"/>
      <w:rPr>
        <w:color w:val="3370ff"/>
        <w:sz w:val="11"/>
      </w:rPr>
    </w:lvl>
  </w:abstractNum>
  <w:abstractNum w:abstractNumId="71558">
    <w:lvl>
      <w:numFmt w:val="bullet"/>
      <w:suff w:val="tab"/>
      <w:lvlText w:val="▪"/>
      <w:rPr>
        <w:color w:val="3370ff"/>
        <w:sz w:val="11"/>
      </w:rPr>
    </w:lvl>
  </w:abstractNum>
  <w:abstractNum w:abstractNumId="71559">
    <w:lvl>
      <w:numFmt w:val="bullet"/>
      <w:suff w:val="tab"/>
      <w:lvlText w:val="￮"/>
      <w:rPr>
        <w:color w:val="3370ff"/>
      </w:rPr>
    </w:lvl>
  </w:abstractNum>
  <w:abstractNum w:abstractNumId="71560">
    <w:lvl>
      <w:numFmt w:val="bullet"/>
      <w:suff w:val="tab"/>
      <w:lvlText w:val="•"/>
      <w:rPr>
        <w:color w:val="3370ff"/>
      </w:rPr>
    </w:lvl>
  </w:abstractNum>
  <w:abstractNum w:abstractNumId="71561">
    <w:lvl>
      <w:numFmt w:val="bullet"/>
      <w:suff w:val="tab"/>
      <w:lvlText w:val="￮"/>
      <w:rPr>
        <w:color w:val="3370ff"/>
      </w:rPr>
    </w:lvl>
  </w:abstractNum>
  <w:abstractNum w:abstractNumId="71562">
    <w:lvl>
      <w:numFmt w:val="bullet"/>
      <w:suff w:val="tab"/>
      <w:lvlText w:val="￮"/>
      <w:rPr>
        <w:color w:val="3370ff"/>
      </w:rPr>
    </w:lvl>
  </w:abstractNum>
  <w:abstractNum w:abstractNumId="71563">
    <w:lvl>
      <w:numFmt w:val="bullet"/>
      <w:suff w:val="tab"/>
      <w:lvlText w:val="▪"/>
      <w:rPr>
        <w:color w:val="3370ff"/>
        <w:sz w:val="11"/>
      </w:rPr>
    </w:lvl>
  </w:abstractNum>
  <w:abstractNum w:abstractNumId="71564">
    <w:lvl>
      <w:numFmt w:val="bullet"/>
      <w:suff w:val="tab"/>
      <w:lvlText w:val="▪"/>
      <w:rPr>
        <w:color w:val="3370ff"/>
        <w:sz w:val="11"/>
      </w:rPr>
    </w:lvl>
  </w:abstractNum>
  <w:abstractNum w:abstractNumId="71565">
    <w:lvl>
      <w:numFmt w:val="bullet"/>
      <w:suff w:val="tab"/>
      <w:lvlText w:val="▪"/>
      <w:rPr>
        <w:color w:val="3370ff"/>
        <w:sz w:val="11"/>
      </w:rPr>
    </w:lvl>
  </w:abstractNum>
  <w:abstractNum w:abstractNumId="71566">
    <w:lvl>
      <w:numFmt w:val="bullet"/>
      <w:suff w:val="tab"/>
      <w:lvlText w:val="￮"/>
      <w:rPr>
        <w:color w:val="3370ff"/>
      </w:rPr>
    </w:lvl>
  </w:abstractNum>
  <w:abstractNum w:abstractNumId="71567">
    <w:lvl>
      <w:numFmt w:val="bullet"/>
      <w:suff w:val="tab"/>
      <w:lvlText w:val="•"/>
      <w:rPr>
        <w:color w:val="3370ff"/>
      </w:rPr>
    </w:lvl>
  </w:abstractNum>
  <w:abstractNum w:abstractNumId="71568">
    <w:lvl>
      <w:start w:val="1"/>
      <w:numFmt w:val="lowerLetter"/>
      <w:suff w:val="tab"/>
      <w:lvlText w:val="%1."/>
      <w:rPr>
        <w:color w:val="3370ff"/>
      </w:rPr>
    </w:lvl>
  </w:abstractNum>
  <w:abstractNum w:abstractNumId="71569">
    <w:lvl>
      <w:start w:val="2"/>
      <w:numFmt w:val="lowerLetter"/>
      <w:suff w:val="tab"/>
      <w:lvlText w:val="%1."/>
      <w:rPr>
        <w:color w:val="3370ff"/>
      </w:rPr>
    </w:lvl>
  </w:abstractNum>
  <w:abstractNum w:abstractNumId="71570">
    <w:lvl>
      <w:start w:val="3"/>
      <w:numFmt w:val="lowerLetter"/>
      <w:suff w:val="tab"/>
      <w:lvlText w:val="%1."/>
      <w:rPr>
        <w:color w:val="3370ff"/>
      </w:rPr>
    </w:lvl>
  </w:abstractNum>
  <w:abstractNum w:abstractNumId="71571">
    <w:lvl>
      <w:start w:val="4"/>
      <w:numFmt w:val="lowerLetter"/>
      <w:suff w:val="tab"/>
      <w:lvlText w:val="%1."/>
      <w:rPr>
        <w:color w:val="3370ff"/>
      </w:rPr>
    </w:lvl>
  </w:abstractNum>
  <w:abstractNum w:abstractNumId="71572">
    <w:lvl>
      <w:start w:val="5"/>
      <w:numFmt w:val="lowerLetter"/>
      <w:suff w:val="tab"/>
      <w:lvlText w:val="%1."/>
      <w:rPr>
        <w:color w:val="3370ff"/>
      </w:rPr>
    </w:lvl>
  </w:abstractNum>
  <w:num w:numId="1">
    <w:abstractNumId w:val="71516"/>
  </w:num>
  <w:num w:numId="2">
    <w:abstractNumId w:val="71517"/>
  </w:num>
  <w:num w:numId="3">
    <w:abstractNumId w:val="71518"/>
  </w:num>
  <w:num w:numId="4">
    <w:abstractNumId w:val="71519"/>
  </w:num>
  <w:num w:numId="5">
    <w:abstractNumId w:val="71520"/>
  </w:num>
  <w:num w:numId="6">
    <w:abstractNumId w:val="71521"/>
  </w:num>
  <w:num w:numId="7">
    <w:abstractNumId w:val="71522"/>
  </w:num>
  <w:num w:numId="8">
    <w:abstractNumId w:val="71523"/>
  </w:num>
  <w:num w:numId="9">
    <w:abstractNumId w:val="71524"/>
  </w:num>
  <w:num w:numId="10">
    <w:abstractNumId w:val="71525"/>
  </w:num>
  <w:num w:numId="11">
    <w:abstractNumId w:val="71526"/>
  </w:num>
  <w:num w:numId="12">
    <w:abstractNumId w:val="71527"/>
  </w:num>
  <w:num w:numId="13">
    <w:abstractNumId w:val="71528"/>
  </w:num>
  <w:num w:numId="14">
    <w:abstractNumId w:val="71529"/>
  </w:num>
  <w:num w:numId="15">
    <w:abstractNumId w:val="71530"/>
  </w:num>
  <w:num w:numId="16">
    <w:abstractNumId w:val="71531"/>
  </w:num>
  <w:num w:numId="17">
    <w:abstractNumId w:val="71532"/>
  </w:num>
  <w:num w:numId="18">
    <w:abstractNumId w:val="71533"/>
  </w:num>
  <w:num w:numId="19">
    <w:abstractNumId w:val="71534"/>
  </w:num>
  <w:num w:numId="20">
    <w:abstractNumId w:val="71535"/>
  </w:num>
  <w:num w:numId="21">
    <w:abstractNumId w:val="71536"/>
  </w:num>
  <w:num w:numId="22">
    <w:abstractNumId w:val="71537"/>
  </w:num>
  <w:num w:numId="23">
    <w:abstractNumId w:val="71538"/>
  </w:num>
  <w:num w:numId="24">
    <w:abstractNumId w:val="71539"/>
  </w:num>
  <w:num w:numId="25">
    <w:abstractNumId w:val="71540"/>
  </w:num>
  <w:num w:numId="26">
    <w:abstractNumId w:val="71541"/>
  </w:num>
  <w:num w:numId="27">
    <w:abstractNumId w:val="71542"/>
  </w:num>
  <w:num w:numId="28">
    <w:abstractNumId w:val="71543"/>
  </w:num>
  <w:num w:numId="29">
    <w:abstractNumId w:val="71544"/>
  </w:num>
  <w:num w:numId="30">
    <w:abstractNumId w:val="71545"/>
  </w:num>
  <w:num w:numId="31">
    <w:abstractNumId w:val="71546"/>
  </w:num>
  <w:num w:numId="32">
    <w:abstractNumId w:val="71547"/>
  </w:num>
  <w:num w:numId="33">
    <w:abstractNumId w:val="71548"/>
  </w:num>
  <w:num w:numId="34">
    <w:abstractNumId w:val="71549"/>
  </w:num>
  <w:num w:numId="35">
    <w:abstractNumId w:val="71550"/>
  </w:num>
  <w:num w:numId="36">
    <w:abstractNumId w:val="71551"/>
  </w:num>
  <w:num w:numId="37">
    <w:abstractNumId w:val="71552"/>
  </w:num>
  <w:num w:numId="38">
    <w:abstractNumId w:val="71553"/>
  </w:num>
  <w:num w:numId="39">
    <w:abstractNumId w:val="71554"/>
  </w:num>
  <w:num w:numId="40">
    <w:abstractNumId w:val="71555"/>
  </w:num>
  <w:num w:numId="41">
    <w:abstractNumId w:val="71556"/>
  </w:num>
  <w:num w:numId="42">
    <w:abstractNumId w:val="71557"/>
  </w:num>
  <w:num w:numId="43">
    <w:abstractNumId w:val="71558"/>
  </w:num>
  <w:num w:numId="44">
    <w:abstractNumId w:val="71559"/>
  </w:num>
  <w:num w:numId="45">
    <w:abstractNumId w:val="71560"/>
  </w:num>
  <w:num w:numId="46">
    <w:abstractNumId w:val="71561"/>
  </w:num>
  <w:num w:numId="47">
    <w:abstractNumId w:val="71562"/>
  </w:num>
  <w:num w:numId="48">
    <w:abstractNumId w:val="71563"/>
  </w:num>
  <w:num w:numId="49">
    <w:abstractNumId w:val="71564"/>
  </w:num>
  <w:num w:numId="50">
    <w:abstractNumId w:val="71565"/>
  </w:num>
  <w:num w:numId="51">
    <w:abstractNumId w:val="71566"/>
  </w:num>
  <w:num w:numId="52">
    <w:abstractNumId w:val="71567"/>
  </w:num>
  <w:num w:numId="53">
    <w:abstractNumId w:val="71568"/>
  </w:num>
  <w:num w:numId="54">
    <w:abstractNumId w:val="71569"/>
  </w:num>
  <w:num w:numId="55">
    <w:abstractNumId w:val="71570"/>
  </w:num>
  <w:num w:numId="56">
    <w:abstractNumId w:val="71571"/>
  </w:num>
  <w:num w:numId="57">
    <w:abstractNumId w:val="7157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media/image3.png" Type="http://schemas.openxmlformats.org/officeDocument/2006/relationships/image"/><Relationship Id="rId8"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2026-07-16T15:04:30Z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{"Label":"1","ContentProducer":"001191110102MACQD9K64010000","ProduceID":"7663141887620680634","ReservedCode1":"","ContentPropagator":"","PropagateID":"","ReservedCode2":""}</vt:lpwstr>
  </property>
</Properties>
</file>