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实验八 差分隐私生成模型实验报告</w:t>
      </w:r>
    </w:p>
    <w:p>
      <w:pPr>
        <w:spacing w:after="1120"/>
        <w:jc w:val="center"/>
      </w:pPr>
      <w:r>
        <w:rPr>
          <w:rFonts w:ascii="Microsoft YaHei" w:hAnsi="Microsoft YaHei" w:eastAsia="Microsoft YaHei"/>
          <w:b w:val="0"/>
          <w:color w:val="000000"/>
          <w:sz w:val="30"/>
        </w:rPr>
        <w:t>DP DCGAN DP CVAE 与 DP WGAN CP 在 MNIST 上的比较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课程  人工智能算法综合课程设计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姓名  ____________________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学号  ____________________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日期  2026 年 10 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本实验围绕 MNIST 差分隐私生成任务展开。必做部分使用 DP-SGD 训练 DCGAN 生成数字 8；扩展部分实现条件 DP-CVAE、数字 8 DP-WGAN-CP 以及完整 0 到 9 的 DP-ACWGAN-CP。所有模型采用统一随机种子和双评估器流程，生成 10000 张样本计算类别一致率、置信度、类别覆盖、类别熵和特征 FID，并记录实际隐私预算。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在既有正式实验基础上，本实验进一步把全部配置统一训练到 100 轮。结果显示，数字 8 DP-DCGAN 和 DP-CVAE 的两套 FID 均明显下降；完整 0 到 9 模型和低预算 DP-WGAN-CP 则出现退化。固定隐私预算下，增加训练轮数会要求更大的噪声乘数，因此训练时间增加不等于有效学习信号增加。最终建议保留 100 轮 DP-DCGAN 与数字 8 DP-CVAE，同时保留旧轮数的完整 0 到 9 模型和 DP-WGAN-CP 作为最佳正式结果。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 xml:space="preserve">关键词  </w:t>
      </w:r>
      <w:r>
        <w:rPr>
          <w:rFonts w:ascii="Microsoft YaHei" w:hAnsi="Microsoft YaHei" w:eastAsia="Microsoft YaHei"/>
          <w:b w:val="0"/>
          <w:color w:val="000000"/>
          <w:sz w:val="22"/>
        </w:rPr>
        <w:t>差分隐私  DP-SGD  DCGAN  CVAE  WGAN-CP  MNIST</w:t>
      </w:r>
    </w:p>
    <w:p>
      <w:pPr>
        <w:pStyle w:val="Heading1"/>
      </w:pPr>
      <w:r>
        <w:t>1 实验任务与目标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课程实验要求在 MNIST 上引入差分隐私训练机制并输出生成结果。必做任务聚焦单个数字 8，以降低训练量并验证 DP-SGD 与生成对抗网络的结合。扩展任务比较不同生成范式、不同标签范围和不同隐私预算，以回答三个问题：哪些模型能够在固定隐私预算下保持图像可识别性，哪些模型能够维持真实分布的多样性，以及增加训练轮数是否能稳定提升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隐私目标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主要目的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必做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DP-DCGAN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 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ε小于 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完成课程指定任务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改进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DP-CVAE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 8 与 0 到 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ε约 8 与 ε小于 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比较稳定的似然生成方法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改进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DP-WGAN-CP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 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ε约 8 与 ε小于 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比较 Wasserstein 对抗训练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改进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DP-ACWGAN-CP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 0 到 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ε约 8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改善条件生成和类别控制</w:t>
            </w:r>
          </w:p>
        </w:tc>
      </w:tr>
    </w:tbl>
    <w:p>
      <w:pPr>
        <w:spacing w:after="0"/>
      </w:pPr>
    </w:p>
    <w:p>
      <w:pPr>
        <w:pStyle w:val="Heading1"/>
      </w:pPr>
      <w:r>
        <w:t>2 算法原理</w:t>
      </w:r>
    </w:p>
    <w:p>
      <w:pPr>
        <w:pStyle w:val="Heading2"/>
      </w:pPr>
      <w:r>
        <w:t>2 1 差分隐私与 DP SGD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差分隐私用 ε 和 δ 描述单条训练记录对模型输出的最大影响。在相同 δ 下，ε越小，单条记录是否参与训练越难被推断，隐私保护越强。DP-SGD 先计算逐样本梯度，将其范数裁剪到上限 C，再对聚合梯度加入与噪声乘数 σ 成比例的高斯噪声。Opacus 负责逐样本梯度、噪声注入和隐私会计。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本项目只允许经过隐私机制的模块直接读取训练图像。GAN 中判别器或 Critic 读取私有样本，生成器仅通过其输出更新，因此生成器发布属于差分隐私的后处理，不增加额外隐私成本。VAE 中编码器与解码器共同参与私有优化，统一使用 DP-SGD。</w:t>
      </w:r>
    </w:p>
    <w:p>
      <w:pPr>
        <w:pStyle w:val="Heading2"/>
      </w:pPr>
      <w:r>
        <w:t>2 2 DP DCGAN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DP-DCGAN 使用卷积生成器和卷积判别器。判别器区分真实数字 8 与生成样本，其梯度经过裁剪和加噪；生成器从随机潜变量生成 32 像素图像。GroupNorm 代替依赖批统计量的 BatchNorm，以减少逐样本梯度计算中的兼容问题。</w:t>
      </w:r>
    </w:p>
    <w:p>
      <w:pPr>
        <w:pStyle w:val="Heading2"/>
      </w:pPr>
      <w:r>
        <w:t>2 3 DP CVAE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DP-CVAE 的编码器学习条件后验，解码器根据潜变量和标签重建图像。损失由逐像素重建项与 KL 正则项组成，并使用 KL warm-up 避免训练初期后验塌缩。条件高斯先验使不同数字在潜空间中拥有可分离中心；EMA 权重用于减小隐私噪声造成的参数波动。</w:t>
      </w:r>
    </w:p>
    <w:p>
      <w:pPr>
        <w:pStyle w:val="Heading2"/>
      </w:pPr>
      <w:r>
        <w:t>2 4 DP WGAN CP 与 DP ACWGAN CP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DP-WGAN-CP 用 Wasserstein 目标替代二元交叉熵，并通过参数裁剪近似满足 Lipschitz 条件。数字 8 版本为无条件生成。完整 0 到 9 的 DP-ACWGAN-CP 加入标签嵌入、投影 Critic 与辅助分类头，并使用公开 LeNet 对生成器做不访问私有数据的后处理。后处理不会增加 ε，但可能使结果偏向指导分类器，因此报告同时保留独立 ConvNet 评估。</w:t>
      </w:r>
    </w:p>
    <w:p>
      <w:pPr>
        <w:pStyle w:val="Heading1"/>
      </w:pPr>
      <w:r>
        <w:t>3 实验设计</w:t>
      </w:r>
    </w:p>
    <w:p>
      <w:pPr>
        <w:pStyle w:val="Heading2"/>
      </w:pPr>
      <w:r>
        <w:t>3 1 数据与环境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训练数据为 MNIST 训练集。完整任务使用 60000 张图像，数字 8 子集包含 5851 张图像；评估使用 MNIST 测试集，数字 8 的真实参考样本为 974 张。既有正式实验在 Python 3.10、PyTorch 2.4.1、torchvision 0.19.1、Opacus 1.5.4 和 NVIDIA GeForce RTX 4060 Laptop GPU 8GB 环境完成。100 轮扩展实验在 Google Colab GPU 运行，模型、日志与断点保存在 Google Drive。</w:t>
      </w:r>
    </w:p>
    <w:p>
      <w:pPr>
        <w:pStyle w:val="Heading2"/>
      </w:pPr>
      <w:r>
        <w:t>3 2 训练配置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既有轮数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扩展轮数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批量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 ε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DP-DCGAN 数字 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约 1.9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1e-5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DP-CVAE 数字 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与 1.9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1e-5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DP-WGAN-CP 数字 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与 1.9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1e-5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DP-CVAE 0 到 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256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1e-5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DP-ACWGAN-CP 0 到 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1e-5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100 轮 DP-DCGAN 使用噪声乘数 2.32421875，最终 ε为 1.8877。其余脚本通过目标 ε自动校准噪声乘数。DP-CVAE 和数字 8 DP-WGAN-CP 每轮保存恢复点；DP-DCGAN 与完整 0 到 9 DP-ACWGAN-CP 不支持中断恢复。</w:t>
      </w:r>
    </w:p>
    <w:p>
      <w:pPr>
        <w:pStyle w:val="Heading2"/>
      </w:pPr>
      <w:r>
        <w:t>3 3 评估指标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判定方向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标签一致率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请求标签与评估器预测一致的比例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越高越好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平均置信度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评估器最大类别概率的平均值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越高越好但不能单独判断多样性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稳健类别覆盖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预测占比至少 1% 的类别数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 0 到 9 应达到 10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归一化类别熵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类别分布的均衡程度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 0 到 9 越接近 1 越好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特征 FID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生成特征分布与真实特征分布的距离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越低越好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ε 与 δ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差分隐私预算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相同 δ 下 ε越小隐私越强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LeNet FID 与 ConvNet FID 位于不同特征空间，不能直接互相比较。报告只比较同一任务、同一评估器、同一样本数量和预处理下的变化。单数字任务的识别率容易接近饱和，因此 FID 和样本多样性比识别率更能区分模型。</w:t>
      </w:r>
    </w:p>
    <w:p>
      <w:pPr>
        <w:pStyle w:val="Heading1"/>
      </w:pPr>
      <w:r>
        <w:t>4 既有正式实验结果</w:t>
      </w:r>
    </w:p>
    <w:p>
      <w:pPr>
        <w:pStyle w:val="Heading2"/>
      </w:pPr>
      <w:r>
        <w:t>4 1 完整 0 到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评估器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一致率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归一化熵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FID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ConvNet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94.51%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0.9982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334.47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7.9997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94.91%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0.9988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499.45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7.9997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DP-ACWGAN-CP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ConvNet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513.57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7.9950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DP-ACWGAN-CP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464.98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7.9950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既有结果中，DP-ACWGAN-CP 的类别控制最强，两套评估器均达到 100% 一致率。DP-CVAE 的 ConvNet FID 更低，说明不同特征空间对图像质量排序存在差异。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1 既有正式 DP-CVAE 完整 MNIST 生成样本</w:t>
      </w:r>
    </w:p>
    <w:p>
      <w:pPr>
        <w:pStyle w:val="Heading2"/>
      </w:pPr>
      <w:r>
        <w:t>4 2 数字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ConvNet FID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LeNet FID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ConvNet 识别率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DP-DCGAN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637.83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865.36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1.9324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463.61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1124.84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7.9944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DP-WGAN-CP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140.15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309.06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98.30%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7.9985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599.53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1539.17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1.8995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DP-WGAN-CP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904.18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690.92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1.8977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既有 ε约 8 的 DP-WGAN-CP 获得最低 FID，但低预算 WGAN 出现明显重复。DP-CVAE 的低预算结果更稳定。DP-DCGAN 以更低 ε完成必做任务，识别率达到 100%。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2 既有正式 DP-DCGAN 数字 8 生成样本</w:t>
      </w:r>
    </w:p>
    <w:p>
      <w:pPr>
        <w:pStyle w:val="Heading1"/>
      </w:pPr>
      <w:r>
        <w:t>5 100 轮扩展实验</w:t>
      </w:r>
    </w:p>
    <w:p>
      <w:pPr>
        <w:pStyle w:val="Heading2"/>
      </w:pPr>
      <w:r>
        <w:t>5 1 完整 0 到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评估器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一致率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归一化熵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FID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ConvNet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91.12%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0.9962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347.06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7.9905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90.86%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0.9956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522.22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7.9905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DP-ACWGAN-CP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ConvNet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90.00%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0.9428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818.59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7.9974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DP-ACWGAN-CP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LeNet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592.83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7.9974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100 轮 DP-CVAE 仍覆盖全部类别，但准确率和 FID 均略差于 30 轮版本。DP-ACWGAN-CP 在 LeNet 下保持 100% 一致率，在独立 ConvNet 下却只有 90% 一致率、9 类稳健覆盖和 818.59 FID。由于后处理使用 LeNet 引导，这种分歧提示模型对指导评估器发生偏置，不能只报告 LeNet 结果。</w:t>
      </w:r>
    </w:p>
    <w:p>
      <w:pPr>
        <w:pStyle w:val="Heading2"/>
      </w:pPr>
      <w:r>
        <w:t>5 2 数字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ConvNet FID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LeNet FID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识别率范围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DP-DCGAN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535.12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636.81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1.8877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306.34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733.87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99.40% 到 99.87%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7.9938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DP-CVAE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433.87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1261.66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99.88% 到 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1.8953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DP-WGAN-CP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约 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420.77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294.39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7.9938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DP-WGAN-CP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小于 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1813.22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922.31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1.8953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DP-DCGAN 在 ε=1.8877 下将两套 FID 都降低，并保持 100% 识别率。DP-CVAE 在 ε约 8 和 ε小于 2 两组中都取得明显 FID 改善。DP-WGAN-CP 的 LeNet FID 在 ε约 8 时略有改善，但 ConvNet FID 增加到原来的约三倍；低预算 WGAN 的两套 FID 均恶化，说明高置信度可能来自重复而不是更真实的分布。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029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_chan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9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Microsoft YaHei" w:hAnsi="Microsoft YaHei" w:eastAsia="Microsoft YaHei"/>
          <w:b w:val="0"/>
          <w:color w:val="000000"/>
          <w:sz w:val="18"/>
        </w:rPr>
        <w:t>图 3 固定隐私预算下训练至 100 轮的 FID 相对变化</w:t>
      </w:r>
    </w:p>
    <w:p>
      <w:pPr>
        <w:pStyle w:val="Heading1"/>
      </w:pPr>
      <w:r>
        <w:t>6 结果分析</w:t>
      </w:r>
    </w:p>
    <w:p>
      <w:pPr>
        <w:pStyle w:val="Heading2"/>
      </w:pPr>
      <w:r>
        <w:t>6 1 增加轮数与隐私噪声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在非隐私训练中，增加轮数通常意味着更多优化机会；在固定目标 ε的 DP-SGD 中，隐私会计必须覆盖更多更新步骤。为了不超出预算，噪声乘数随训练轮数提高。模型获得更多迭代次数的同时，每次私有更新也更嘈杂。数字 8 的数据分布简单，DCGAN 和 CVAE 能从额外轮数中获益；完整 0 到 9 与对抗式 Critic 对噪声更敏感，额外轮数反而放大不稳定性。</w:t>
      </w:r>
    </w:p>
    <w:p>
      <w:pPr>
        <w:pStyle w:val="Heading2"/>
      </w:pPr>
      <w:r>
        <w:t>6 2 识别率与 FID 的区别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数字 8 任务中，多组模型的识别率接近 100%，但 FID 差异超过四倍。分类器只需确认样本像数字 8；即使模型反复生成少数非常清晰的写法，识别率仍可能很高。FID 同时关注生成特征的均值与协方差，对模式重复更敏感。因此，低预算 WGAN 的高置信度不能作为质量改善证据。</w:t>
      </w:r>
    </w:p>
    <w:p>
      <w:pPr>
        <w:pStyle w:val="Heading2"/>
      </w:pPr>
      <w:r>
        <w:t>6 3 双评估器的必要性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LeNet 与 ConvNet 提供两个独立特征空间。DP-ACWGAN-CP 的公开后处理直接使用 LeNet 指导，因而同一 LeNet 评估可能产生乐观偏差。100 轮结果中，LeNet 报告 100% 一致率和 10 类覆盖，ConvNet 却报告 90% 一致率和 9 类覆盖。最终判断应优先关注跨评估器一致的改善，并把分歧作为模型偏置或模式缺失的证据。</w:t>
      </w:r>
    </w:p>
    <w:p>
      <w:pPr>
        <w:pStyle w:val="Heading1"/>
      </w:pPr>
      <w:r>
        <w:t>7 最终模型选择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建议保留版本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必做数字 8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DP-DCGAN 100 轮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ε更低且两套 FID 均改善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 8 ε约 8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DP-CVAE 100 轮与旧 50 轮 WGAN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CVAE 稳定改善；旧 WGAN 保持最低 ConvNet FID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数字 8 ε小于 2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DP-CVAE 100 轮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低预算下比 100 轮 WGAN 稳定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 0 到 9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 30 轮 CVAE 与旧 40 轮 ACWGAN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 轮版本均退化，ACWGAN 还出现类别缺失</w:t>
            </w:r>
          </w:p>
        </w:tc>
      </w:tr>
    </w:tbl>
    <w:p>
      <w:pPr>
        <w:spacing w:after="0"/>
      </w:pP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统一 100 轮实验的作用是控制训练轮数并验证收敛趋势，而不是要求最终发布模型全部来自第 100 轮。项目最终结果采用按任务择优的策略：只有当两套评估器或核心质量指标支持改善时，才用长训版本替换基线。</w:t>
      </w:r>
    </w:p>
    <w:p>
      <w:pPr>
        <w:pStyle w:val="Heading1"/>
      </w:pPr>
      <w:r>
        <w:t>8 复现流程</w:t>
      </w:r>
    </w:p>
    <w:p>
      <w:pPr>
        <w:pStyle w:val="ListBullet"/>
        <w:spacing w:after="80" w:line="288" w:lineRule="auto"/>
        <w:ind w:left="440"/>
      </w:pPr>
      <w:r>
        <w:rPr>
          <w:rFonts w:ascii="Microsoft YaHei" w:hAnsi="Microsoft YaHei" w:eastAsia="Microsoft YaHei"/>
          <w:b w:val="0"/>
          <w:color w:val="000000"/>
          <w:sz w:val="22"/>
        </w:rPr>
        <w:t>克隆 GitHub 仓库并安装与 CUDA 匹配的 PyTorch、torchvision、Opacus 和 tqdm。</w:t>
      </w:r>
    </w:p>
    <w:p>
      <w:pPr>
        <w:pStyle w:val="ListBullet"/>
        <w:spacing w:after="80" w:line="288" w:lineRule="auto"/>
        <w:ind w:left="440"/>
      </w:pPr>
      <w:r>
        <w:rPr>
          <w:rFonts w:ascii="Microsoft YaHei" w:hAnsi="Microsoft YaHei" w:eastAsia="Microsoft YaHei"/>
          <w:b w:val="0"/>
          <w:color w:val="000000"/>
          <w:sz w:val="22"/>
        </w:rPr>
        <w:t>本地必做任务运行 scripts/run_required.ps1；其他模型按 README 中的命令执行。</w:t>
      </w:r>
    </w:p>
    <w:p>
      <w:pPr>
        <w:pStyle w:val="ListBullet"/>
        <w:spacing w:after="80" w:line="288" w:lineRule="auto"/>
        <w:ind w:left="440"/>
      </w:pPr>
      <w:r>
        <w:rPr>
          <w:rFonts w:ascii="Microsoft YaHei" w:hAnsi="Microsoft YaHei" w:eastAsia="Microsoft YaHei"/>
          <w:b w:val="0"/>
          <w:color w:val="000000"/>
          <w:sz w:val="22"/>
        </w:rPr>
        <w:t>Colab 长训打开 notebooks/colab_retrain.ipynb，挂载 Google Drive 后依次运行。</w:t>
      </w:r>
    </w:p>
    <w:p>
      <w:pPr>
        <w:pStyle w:val="ListBullet"/>
        <w:spacing w:after="80" w:line="288" w:lineRule="auto"/>
        <w:ind w:left="440"/>
      </w:pPr>
      <w:r>
        <w:rPr>
          <w:rFonts w:ascii="Microsoft YaHei" w:hAnsi="Microsoft YaHei" w:eastAsia="Microsoft YaHei"/>
          <w:b w:val="0"/>
          <w:color w:val="000000"/>
          <w:sz w:val="22"/>
        </w:rPr>
        <w:t>评估阶段固定随机种子 2026，每个模型生成 10000 张图，并分别运行 LeNet 与 ConvNet。</w:t>
      </w:r>
    </w:p>
    <w:p>
      <w:pPr>
        <w:pStyle w:val="ListBullet"/>
        <w:spacing w:after="80" w:line="288" w:lineRule="auto"/>
        <w:ind w:left="440"/>
      </w:pPr>
      <w:r>
        <w:rPr>
          <w:rFonts w:ascii="Microsoft YaHei" w:hAnsi="Microsoft YaHei" w:eastAsia="Microsoft YaHei"/>
          <w:b w:val="0"/>
          <w:color w:val="000000"/>
          <w:sz w:val="22"/>
        </w:rPr>
        <w:t>机器可读基线指标位于 results/comparison.csv，100 轮指标位于 results/colab_e100_comparison.csv。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100 轮扩展实验的七组独立训练合计约 6964 秒，即 1 小时 56 分钟，不含少量评估与文件写入时间。模型检查点体积较大，保存在 Google Drive；GitHub 保留代码、评估器、既有正式模型、指标摘要与报告。</w:t>
      </w:r>
    </w:p>
    <w:p>
      <w:pPr>
        <w:pStyle w:val="Heading1"/>
      </w:pPr>
      <w:r>
        <w:t>9 结论</w:t>
      </w:r>
    </w:p>
    <w:p>
      <w:pPr>
        <w:spacing w:line="324" w:lineRule="auto" w:after="140"/>
        <w:ind w:firstLine="440"/>
        <w:jc w:val="both"/>
      </w:pPr>
      <w:r>
        <w:rPr>
          <w:rFonts w:ascii="Microsoft YaHei" w:hAnsi="Microsoft YaHei" w:eastAsia="Microsoft YaHei"/>
          <w:b w:val="0"/>
          <w:color w:val="000000"/>
          <w:sz w:val="22"/>
        </w:rPr>
        <w:t>本实验完成了 DP-SGD 与 DCGAN 的必做任务，并通过 DP-CVAE、DP-WGAN-CP 和 DP-ACWGAN-CP 扩展了模型与数据范围。100 轮实验验证了固定隐私预算下的核心权衡：更多训练步骤需要更强噪声，模型质量可能改善，也可能因私有梯度信号减弱而退化。数字 8 DP-DCGAN 与 DP-CVAE 从长训中获益；低预算 WGAN 和完整 0 到 9 模型则不适合直接以 100 轮版本替换既有结果。双评估器、FID 与类别覆盖共同提供了比单一识别率更可靠的判断。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b w:val="0"/>
          <w:color w:val="000000"/>
          <w:sz w:val="20"/>
        </w:rPr>
        <w:t>[1] Abadi M et al. Deep Learning with Differential Privacy. ACM CCS 2016.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b w:val="0"/>
          <w:color w:val="000000"/>
          <w:sz w:val="20"/>
        </w:rPr>
        <w:t>[2] Arjovsky M Chintala S Bottou L. Wasserstein Generative Adversarial Networks. ICML 2017.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b w:val="0"/>
          <w:color w:val="000000"/>
          <w:sz w:val="20"/>
        </w:rPr>
        <w:t>[3] Kingma D P Welling M. Auto Encoding Variational Bayes. ICLR 2014.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b w:val="0"/>
          <w:color w:val="000000"/>
          <w:sz w:val="20"/>
        </w:rPr>
        <w:t>[4] Yousefpour A et al. Opacus User Friendly Differential Privacy Library in PyTorch. 2021.</w:t>
      </w:r>
    </w:p>
    <w:p>
      <w:pPr>
        <w:spacing w:after="100"/>
        <w:ind w:left="360" w:hanging="360"/>
      </w:pPr>
      <w:r>
        <w:rPr>
          <w:rFonts w:ascii="Microsoft YaHei" w:hAnsi="Microsoft YaHei" w:eastAsia="Microsoft YaHei"/>
          <w:b w:val="0"/>
          <w:color w:val="000000"/>
          <w:sz w:val="20"/>
        </w:rPr>
        <w:t>[5] 课程资料 DP notes 与 NIPS 2016 Tutorial 仓库 references 目录.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37" w:right="1123" w:bottom="1037" w:left="1123" w:header="720" w:footer="720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A5A5A"/>
        <w:sz w:val="16"/>
      </w:rPr>
      <w:t>人工智能算法综合课程设计  实验八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实验八 差分隐私生成模型实验报告</dc:title>
  <dc:subject>DP DCGAN DP CVAE 与 DP WGAN CP 在 MNIST 上的实验比较</dc:subject>
  <dc:creator>人工智能算法综合课程设计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