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NAYT V2 · Rapport de Pentest</w:t>
      </w:r>
    </w:p>
    <w:p>
      <w:pPr>
        <w:pStyle w:val="Title"/>
        <w:jc w:val="center"/>
      </w:pPr>
      <w:r>
        <w:t>{{ mission_name }}</w:t>
      </w:r>
    </w:p>
    <w:p>
      <w:pPr>
        <w:jc w:val="center"/>
      </w:pPr>
      <w:r>
        <w:t>Rapport exécutif et technique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</w:tcPr>
          <w:p>
            <w:r>
              <w:t>Cible</w:t>
            </w:r>
          </w:p>
        </w:tc>
        <w:tc>
          <w:tcPr>
            <w:tcW w:type="dxa" w:w="4320"/>
            <w:shd w:fill="F8FAFC"/>
          </w:tcPr>
          <w:p>
            <w:r>
              <w:t>{{ target }}</w:t>
            </w:r>
          </w:p>
        </w:tc>
      </w:tr>
      <w:tr>
        <w:tc>
          <w:tcPr>
            <w:tcW w:type="dxa" w:w="4320"/>
            <w:shd w:fill="E2E8F0"/>
          </w:tcPr>
          <w:p>
            <w:r>
              <w:t>Date du rapport</w:t>
            </w:r>
          </w:p>
        </w:tc>
        <w:tc>
          <w:tcPr>
            <w:tcW w:type="dxa" w:w="4320"/>
            <w:shd w:fill="F8FAFC"/>
          </w:tcPr>
          <w:p>
            <w:r>
              <w:t>{{ date }}</w:t>
            </w:r>
          </w:p>
        </w:tc>
      </w:tr>
      <w:tr>
        <w:tc>
          <w:tcPr>
            <w:tcW w:type="dxa" w:w="4320"/>
            <w:shd w:fill="E2E8F0"/>
          </w:tcPr>
          <w:p>
            <w:r>
              <w:t>Client</w:t>
            </w:r>
          </w:p>
        </w:tc>
        <w:tc>
          <w:tcPr>
            <w:tcW w:type="dxa" w:w="4320"/>
            <w:shd w:fill="F8FAFC"/>
          </w:tcPr>
          <w:p>
            <w:r>
              <w:t>{{ client_name }} ({{ client_company }})</w:t>
            </w:r>
          </w:p>
        </w:tc>
      </w:tr>
      <w:tr>
        <w:tc>
          <w:tcPr>
            <w:tcW w:type="dxa" w:w="4320"/>
            <w:shd w:fill="E2E8F0"/>
          </w:tcPr>
          <w:p>
            <w:r>
              <w:t>Total vulnérabilités</w:t>
            </w:r>
          </w:p>
        </w:tc>
        <w:tc>
          <w:tcPr>
            <w:tcW w:type="dxa" w:w="4320"/>
            <w:shd w:fill="F8FAFC"/>
          </w:tcPr>
          <w:p>
            <w:r>
              <w:t>{{ total_vulnerabilities }}</w:t>
            </w:r>
          </w:p>
        </w:tc>
      </w:tr>
      <w:tr>
        <w:tc>
          <w:tcPr>
            <w:tcW w:type="dxa" w:w="4320"/>
            <w:shd w:fill="E2E8F0"/>
          </w:tcPr>
          <w:p>
            <w:r>
              <w:t>Score de risque global</w:t>
            </w:r>
          </w:p>
        </w:tc>
        <w:tc>
          <w:tcPr>
            <w:tcW w:type="dxa" w:w="4320"/>
            <w:shd w:fill="F8FAFC"/>
          </w:tcPr>
          <w:p>
            <w:r>
              <w:t>{{ overall_risk_score }} / 100</w:t>
            </w:r>
          </w:p>
        </w:tc>
      </w:tr>
    </w:tbl>
    <w:p/>
    <w:p>
      <w:pPr>
        <w:pStyle w:val="Heading1"/>
      </w:pPr>
      <w:r>
        <w:t>Résumé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ECACA"/>
          </w:tcPr>
          <w:p>
            <w:pPr>
              <w:jc w:val="center"/>
            </w:pPr>
            <w:r>
              <w:t>Critique</w:t>
            </w:r>
          </w:p>
        </w:tc>
        <w:tc>
          <w:tcPr>
            <w:tcW w:type="dxa" w:w="1728"/>
            <w:shd w:fill="FED7AA"/>
          </w:tcPr>
          <w:p>
            <w:pPr>
              <w:jc w:val="center"/>
            </w:pPr>
            <w:r>
              <w:t>Élevé</w:t>
            </w:r>
          </w:p>
        </w:tc>
        <w:tc>
          <w:tcPr>
            <w:tcW w:type="dxa" w:w="1728"/>
            <w:shd w:fill="FEF08A"/>
          </w:tcPr>
          <w:p>
            <w:pPr>
              <w:jc w:val="center"/>
            </w:pPr>
            <w:r>
              <w:t>Moyen</w:t>
            </w:r>
          </w:p>
        </w:tc>
        <w:tc>
          <w:tcPr>
            <w:tcW w:type="dxa" w:w="1728"/>
            <w:shd w:fill="BFDBFE"/>
          </w:tcPr>
          <w:p>
            <w:pPr>
              <w:jc w:val="center"/>
            </w:pPr>
            <w:r>
              <w:t>Faible</w:t>
            </w:r>
          </w:p>
        </w:tc>
        <w:tc>
          <w:tcPr>
            <w:tcW w:type="dxa" w:w="1728"/>
            <w:shd w:fill="E2E8F0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  <w:shd w:fill="F8FAFC"/>
          </w:tcPr>
          <w:p>
            <w:pPr>
              <w:jc w:val="center"/>
            </w:pPr>
            <w:r>
              <w:t>{{ critical_count }}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>{{ high_count }}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>{{ medium_count }}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>{{ low_count }}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>{{ info_count }}</w:t>
            </w:r>
          </w:p>
        </w:tc>
      </w:tr>
    </w:tbl>
    <w:p/>
    <w:p>
      <w:pPr>
        <w:pStyle w:val="Heading1"/>
      </w:pPr>
      <w:r>
        <w:t>Détail des vulnérabilités</w:t>
      </w:r>
    </w:p>
    <w:p>
      <w:r>
        <w:t>{% if total_vulnerabilities &gt; 0 %}</w:t>
      </w:r>
    </w:p>
    <w:p>
      <w:r>
        <w:t>{% for vuln in vulnerabilities %}</w:t>
      </w:r>
    </w:p>
    <w:p>
      <w:r>
        <w:t>● {{ vuln.title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</w:tcPr>
          <w:p>
            <w:r>
              <w:t>Sévérité / CVSS</w:t>
            </w:r>
          </w:p>
        </w:tc>
        <w:tc>
          <w:tcPr>
            <w:tcW w:type="dxa" w:w="4320"/>
            <w:shd w:fill="FFFFFF"/>
          </w:tcPr>
          <w:p>
            <w:r>
              <w:t>{{ vuln.severity }} ({{ vuln.cvss }})</w:t>
            </w:r>
          </w:p>
        </w:tc>
      </w:tr>
      <w:tr>
        <w:tc>
          <w:tcPr>
            <w:tcW w:type="dxa" w:w="4320"/>
            <w:shd w:fill="E2E8F0"/>
          </w:tcPr>
          <w:p>
            <w:r>
              <w:t>Statut</w:t>
            </w:r>
          </w:p>
        </w:tc>
        <w:tc>
          <w:tcPr>
            <w:tcW w:type="dxa" w:w="4320"/>
            <w:shd w:fill="FFFFFF"/>
          </w:tcPr>
          <w:p>
            <w:r>
              <w:t>{{ vuln.status }}</w:t>
            </w:r>
          </w:p>
        </w:tc>
      </w:tr>
      <w:tr>
        <w:tc>
          <w:tcPr>
            <w:tcW w:type="dxa" w:w="4320"/>
            <w:shd w:fill="E2E8F0"/>
          </w:tcPr>
          <w:p>
            <w:r>
              <w:t>CVE</w:t>
            </w:r>
          </w:p>
        </w:tc>
        <w:tc>
          <w:tcPr>
            <w:tcW w:type="dxa" w:w="4320"/>
            <w:shd w:fill="FFFFFF"/>
          </w:tcPr>
          <w:p>
            <w:r>
              <w:t>{{ vuln.cve }}</w:t>
            </w:r>
          </w:p>
        </w:tc>
      </w:tr>
      <w:tr>
        <w:tc>
          <w:tcPr>
            <w:tcW w:type="dxa" w:w="4320"/>
            <w:shd w:fill="E2E8F0"/>
          </w:tcPr>
          <w:p>
            <w:r>
              <w:t>MITRE ATT&amp;CK</w:t>
            </w:r>
          </w:p>
        </w:tc>
        <w:tc>
          <w:tcPr>
            <w:tcW w:type="dxa" w:w="4320"/>
            <w:shd w:fill="FFFFFF"/>
          </w:tcPr>
          <w:p>
            <w:r>
              <w:t>{{ vuln.mitre_attack }}</w:t>
            </w:r>
          </w:p>
        </w:tc>
      </w:tr>
      <w:tr>
        <w:tc>
          <w:tcPr>
            <w:tcW w:type="dxa" w:w="4320"/>
            <w:shd w:fill="E2E8F0"/>
          </w:tcPr>
          <w:p>
            <w:r>
              <w:t>Description</w:t>
            </w:r>
          </w:p>
        </w:tc>
        <w:tc>
          <w:tcPr>
            <w:tcW w:type="dxa" w:w="4320"/>
            <w:shd w:fill="FFFFFF"/>
          </w:tcPr>
          <w:p>
            <w:r>
              <w:t>{{ vuln.description }}</w:t>
            </w:r>
          </w:p>
        </w:tc>
      </w:tr>
    </w:tbl>
    <w:p/>
    <w:p>
      <w:r>
        <w:t>{% endfor %}</w:t>
      </w:r>
    </w:p>
    <w:p>
      <w:r>
        <w:t>{% else %}</w:t>
      </w:r>
    </w:p>
    <w:p>
      <w:r>
        <w:t>Aucune vulnérabilité majeure détectée automatiquement. Des vérifications manuelles restent nécessaires.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