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1B3D"/>
          <w:sz w:val="38"/>
          <w:szCs w:val="38"/>
        </w:rPr>
        <w:t xml:space="preserve">Documento Técnico Consolidado</w:t>
      </w:r>
    </w:p>
    <w:p>
      <w:pPr>
        <w:spacing w:after="60"/>
      </w:pPr>
      <w:r>
        <w:rPr>
          <w:i/>
          <w:iCs/>
          <w:color w:val="444444"/>
          <w:sz w:val="23"/>
          <w:szCs w:val="23"/>
        </w:rPr>
        <w:t xml:space="preserve">Minerva IX — Estratégia, Metodologia e Correções de Integridade</w:t>
      </w:r>
    </w:p>
    <w:p>
      <w:pPr>
        <w:spacing w:after="280"/>
      </w:pPr>
      <w:r>
        <w:rPr>
          <w:color w:val="666666"/>
          <w:sz w:val="18"/>
          <w:szCs w:val="18"/>
        </w:rPr>
        <w:t xml:space="preserve">Projeto Quant AI — Itaú Quantamental Challenge 2026 — substitui Fase0_Premissas e Fase1_Consolidado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40"/>
      </w:pPr>
      <w:r>
        <w:t xml:space="preserve">1. Classificação da Estratégia</w:t>
      </w:r>
    </w:p>
    <w:p>
      <w:pPr>
        <w:spacing w:after="140"/>
      </w:pPr>
      <w:r>
        <w:rPr>
          <w:b/>
          <w:bCs/>
        </w:rPr>
        <w:t xml:space="preserve">Regime: </w:t>
      </w:r>
      <w:r>
        <w:t xml:space="preserve">long-only, sem alavancagem, sem venda a descoberto. Nenhum ativo do universo pode receber peso negativo — restrição imposta diretamente no otimizador convexo (Agente 6) e reforçada por um truncamento de segurança no Agente 7, que intercepta qualquer peso negativo residual antes da execução.</w:t>
      </w:r>
    </w:p>
    <w:p>
      <w:pPr>
        <w:spacing w:after="140"/>
      </w:pPr>
      <w:r>
        <w:rPr>
          <w:b/>
          <w:bCs/>
        </w:rPr>
        <w:t xml:space="preserve">Não é buy-and-hold: </w:t>
      </w:r>
      <w:r>
        <w:t xml:space="preserve">é um rebalanceamento walk-forward quadrimestral. A cada uma das 26 janelas point-in-time (dezembro/2017 a janeiro/2026), o universo elegível e o sinal de sentimento são recalculados do zero a partir de dados conhecidos até aquele instante. A execução real, porém, é filtrada por uma banda de não-negociação (Agente 7): um ativo só é de fato comprado ou vendido se o desvio entre o peso-alvo e o peso atual (já refletindo a variação natural de preço) superar um limiar proporcional à volatilidade histórica do próprio sinal, escalado por um fator de liquidez. Isso desacopla a frequência de recálculo do sinal da frequência de execução, contendo custo de transação sobre ruído de baixa magnitude.</w:t>
      </w:r>
    </w:p>
    <w:p>
      <w:pPr>
        <w:spacing w:after="140"/>
      </w:pPr>
      <w:r>
        <w:rPr>
          <w:b/>
          <w:bCs/>
        </w:rPr>
        <w:t xml:space="preserve">CDI como ativo sintético: </w:t>
      </w:r>
      <w:r>
        <w:t xml:space="preserve">implementa a separação de Tobin (Two-Fund Separation) — o CDI entra na mesma otimização convexa das ações, resolvido conjuntamente, nunca em duas etapas sequenciais (“decide quanto vai para CDI, depois otimiza o resto”). Quando o retorno esperado ajustado por sentimento não compensa o risco extra sobre a taxa livre de risco, o otimizador aloca capital para CDI organicamente, via a própria matemática de aversão a risco (δ), sem regra manual de “modo defensivo”.</w:t>
      </w:r>
    </w:p>
    <w:p>
      <w:pPr>
        <w:pStyle w:val="Heading1"/>
        <w:spacing w:after="150" w:before="340"/>
      </w:pPr>
      <w:r>
        <w:t xml:space="preserve">2. Universo de Investimento</w:t>
      </w:r>
    </w:p>
    <w:p>
      <w:pPr>
        <w:spacing w:after="140"/>
      </w:pPr>
      <w:r>
        <w:t xml:space="preserve">Composição reconstruída </w:t>
      </w:r>
      <w:r>
        <w:rPr>
          <w:b/>
          <w:bCs/>
        </w:rPr>
        <w:t xml:space="preserve">point-in-time</w:t>
      </w:r>
      <w:r>
        <w:t xml:space="preserve"> a partir dos arquivos oficiais “ViradaFinal” da B3 (26 quadrimestres, dezembro/2017 a janeiro/2026, processados pelo Agente 0) — nunca a composição atual do índice aplicada retroativamente, o que introduziria viés de sobrevivência.</w:t>
      </w:r>
    </w:p>
    <w:p>
      <w:pPr>
        <w:spacing w:after="140"/>
      </w:pPr>
      <w:r>
        <w:rPr>
          <w:b/>
          <w:bCs/>
        </w:rPr>
        <w:t xml:space="preserve">Corte de liquidez: </w:t>
      </w:r>
      <w:r>
        <w:t xml:space="preserve">cada janela é reduzida aos </w:t>
      </w:r>
      <w:r>
        <w:rPr>
          <w:b/>
          <w:bCs/>
        </w:rPr>
        <w:t xml:space="preserve">15 ativos de maior peso teórico</w:t>
      </w:r>
      <w:r>
        <w:t xml:space="preserve"> no Ibovespa naquele quadrimestre especificamente (coluna </w:t>
      </w:r>
      <w:r>
        <w:rPr>
          <w:i/>
          <w:iCs/>
        </w:rPr>
        <w:t xml:space="preserve">peso_pct</w:t>
      </w:r>
      <w:r>
        <w:t xml:space="preserve">, já disponível no arquivo oficial B3, usada como proxy de liquidez — a própria metodologia de ponderação do índice já reflete liquidez). O corte é refeito dentro de cada janela, não é uma lista fixa aplicada a todo o histórico.</w:t>
      </w:r>
    </w:p>
    <w:p>
      <w:pPr>
        <w:spacing w:after="140"/>
      </w:pPr>
      <w:r>
        <w:rPr>
          <w:b/>
          <w:bCs/>
        </w:rPr>
        <w:t xml:space="preserve">Justificativa estatística: </w:t>
      </w:r>
      <w:r>
        <w:t xml:space="preserve">a razão N/T (número de ativos sobre número de observações temporais) afeta diretamente a estabilidade dos autovalores da matriz de covariância (fenômeno descrito pela distribuição de Marchenko-Pastur). Um universo de 56 a 80 ativos, testado numa etapa anterior do projeto, deixa essa razão desfavorável mesmo com o encolhimento de Ledoit-Wolf; 15 ativos aproxima a razão N/T de um regime mais estável, sem descartar o shrinkage como salvaguarda adicional.</w:t>
      </w:r>
    </w:p>
    <w:p>
      <w:pPr>
        <w:pStyle w:val="Heading1"/>
        <w:spacing w:after="150" w:before="340"/>
      </w:pPr>
      <w:r>
        <w:t xml:space="preserve">3. Custos Modelados</w:t>
      </w:r>
    </w:p>
    <w:p>
      <w:pPr>
        <w:pStyle w:val="Heading2"/>
        <w:spacing w:after="110" w:before="240"/>
      </w:pPr>
      <w:r>
        <w:t xml:space="preserve">3.1 Custos de transação B3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Emolumentos: 0,0325% sobre o volume efetivamente negociado (não sobre a carteira inteira — só ativos com variação de peso entre antes/depois do rebalanceamento).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Slippage: estimável em pontos-base por ativo (parâmetro do Agente 7), não obrigatório pelo edital.</w:t>
      </w:r>
    </w:p>
    <w:p>
      <w:pPr>
        <w:pStyle w:val="Heading2"/>
        <w:spacing w:after="110" w:before="240"/>
      </w:pPr>
      <w:r>
        <w:t xml:space="preserve">3.2 Imposto de Renda — alíquota de 15%</w:t>
      </w:r>
    </w:p>
    <w:p>
      <w:pPr>
        <w:spacing w:after="140"/>
      </w:pPr>
      <w:r>
        <w:t xml:space="preserve">Incide sobre o ganho realizado nas vendas (não sobre o volume negociado). Quatro simplificações deliberadas, declaradas explicitamente para não mascarar a limitação: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rastreamento FIFO de custo médio de aquisição por lote — o ganho realizado é estimado a montante, não derivado de um histórico de lotes completo.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compensação de prejuízo acumulado contra ganhos de meses seguintes (a legislação permite; aqui, prejuízo realizado gera IR zero, sem crédito futuro).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a isenção de R$ 20 mil/mês em vendas de ações para pessoa física — premissa conservadora (superestima o imposto devido, não subestima).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Alíquota única de 15% (operações comuns/swing trade); a alíquota de day trade (20%) não é modelada, coerente com um rebalanceamento quadrimestral.</w:t>
      </w:r>
    </w:p>
    <w:p>
      <w:pPr>
        <w:pStyle w:val="Heading2"/>
        <w:spacing w:after="110" w:before="240"/>
      </w:pPr>
      <w:r>
        <w:t xml:space="preserve">3.3 Custo de API dos 3 LLMs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50"/>
      </w:tblGrid>
      <w:tr>
        <w:tc>
          <w:tcPr>
            <w:tcW w:type="dxa" w:w="320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 / modelo</w:t>
            </w:r>
          </w:p>
        </w:tc>
        <w:tc>
          <w:tcPr>
            <w:tcW w:type="dxa" w:w="340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(entrada / saída, por milhão de tokens)</w:t>
            </w:r>
          </w:p>
        </w:tc>
        <w:tc>
          <w:tcPr>
            <w:tcW w:type="dxa" w:w="275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 — corpus histórico completo (~1.400 notícias)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 — claude-sonnet-4-6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US$ 3 / US$ 15</w:t>
            </w:r>
          </w:p>
        </w:tc>
        <w:tc>
          <w:tcPr>
            <w:tcW w:type="dxa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US$ 2,30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 — gpt-4o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US$ 2,50 / US$ 10</w:t>
            </w:r>
          </w:p>
        </w:tc>
        <w:tc>
          <w:tcPr>
            <w:tcW w:type="dxa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US$ 1,70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— gemini-3.5-flash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US$ 1,50 / US$ 9</w:t>
            </w:r>
          </w:p>
        </w:tc>
        <w:tc>
          <w:tcPr>
            <w:tcW w:type="dxa" w:w="2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US$ 1,30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Total estimado: </w:t>
      </w:r>
      <w:r>
        <w:rPr>
          <w:b/>
          <w:bCs/>
        </w:rPr>
        <w:t xml:space="preserve">≈ US$ 5-6 para processar o corpus histórico uma vez</w:t>
      </w:r>
      <w:r>
        <w:t xml:space="preserve">, assumindo prompt curto (~250 tokens de entrada) e resposta curta (~60 tokens de saída, JSON com score e justificativa de até 15 palavras). Um cache SQLite (política: falha nunca é persistida, apenas resultado válido) evita reprocessar notícias já pontuadas em execuções subsequentes, reduzindo o custo de qualquer rodada além da primeira.</w:t>
      </w:r>
    </w:p>
    <w:p>
      <w:pPr>
        <w:pStyle w:val="Heading1"/>
        <w:spacing w:after="150" w:before="340"/>
      </w:pPr>
      <w:r>
        <w:t xml:space="preserve">4. Metodologia de Sentimento</w:t>
      </w:r>
    </w:p>
    <w:p>
      <w:pPr>
        <w:pStyle w:val="Heading2"/>
        <w:spacing w:after="110" w:before="240"/>
      </w:pPr>
      <w:r>
        <w:t xml:space="preserve">4.1 Ensemble de 3 LLMs independentes</w:t>
      </w:r>
    </w:p>
    <w:p>
      <w:pPr>
        <w:spacing w:after="140"/>
      </w:pPr>
      <w:r>
        <w:t xml:space="preserve">Anthropic, OpenAI e Google foram escolhidos por serem três organizações e arquiteturas diferentes, não três chamadas ao mesmo modelo — o que geraria pseudo-independência (mesmo corpus de treino, mesmos pontos cegos, viés correlacionado disfarçado de consenso). Cada provider recebe o mesmo prompt estruturado, isolando a fonte de divergência entre os 3 scores como vinda do modelo em si, não de uma diferença de instrução.</w:t>
      </w:r>
    </w:p>
    <w:p>
      <w:pPr>
        <w:pStyle w:val="Heading2"/>
        <w:spacing w:after="110" w:before="240"/>
      </w:pPr>
      <w:r>
        <w:t xml:space="preserve">4.2 Derivação de Q (view de retorno)</w:t>
      </w:r>
    </w:p>
    <w:p>
      <w:pPr>
        <w:spacing w:after="140"/>
      </w:pPr>
      <w:r>
        <w:t xml:space="preserve">O sentimento não é convertido em retorno por uma escala linear fixa. Em vez disso, o score de sentimento purificado é mapeado para um percentil da distribuição empírica de retornos do próprio ativo:</w:t>
      </w:r>
    </w:p>
    <w:p>
      <w:pPr>
        <w:shd w:fill="F2F2F2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3"/>
          <w:szCs w:val="23"/>
        </w:rPr>
        <w:t xml:space="preserve">percentil = (score + 1) / 2 × 100</w:t>
      </w:r>
    </w:p>
    <w:p>
      <w:pPr>
        <w:spacing w:after="140"/>
      </w:pPr>
      <w:r>
        <w:t xml:space="preserve">O valor de retorno correspondente a esse percentil, na tabela de breakpoints construída </w:t>
      </w:r>
      <w:r>
        <w:rPr>
          <w:i/>
          <w:iCs/>
        </w:rPr>
        <w:t xml:space="preserve">walk-forward</w:t>
      </w:r>
      <w:r>
        <w:t xml:space="preserve"> (só com preços conhecidos até a data da decisão), é o Q usado na posterior do Black-Litterman. Ativos sem histórico de preço suficiente usam a distribuição de um índice sintético (média dos ativos disponíveis na janela) como aproximação documentada.</w:t>
      </w:r>
    </w:p>
    <w:p>
      <w:pPr>
        <w:pStyle w:val="Heading2"/>
        <w:spacing w:after="110" w:before="240"/>
      </w:pPr>
      <w:r>
        <w:t xml:space="preserve">4.3 Derivação de Ω (incerteza da view)</w:t>
      </w:r>
    </w:p>
    <w:p>
      <w:pPr>
        <w:spacing w:after="140"/>
      </w:pPr>
      <w:r>
        <w:t xml:space="preserve">Duas fontes de incerteza ortogonais, somadas: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Divergência entre os 3 LLMs sobre a mesma notícia: Var(s₁, s₂, s₃) / √n_notícias, com piso mínimo epsilon_min (evita divisão por zero quando os 3 modelos concordam perfeitamente, e reflete que concordância entre 3 modelos específicos não é certeza absoluta).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Incerteza temporal: decaimento do sinal via processo tipo Ornstein-Uhlenbeck (simulação de Monte Carlo, Agente 5), que mantém um sinal residual vivo por alguns dias após a notícia, sem notícia nova precisar chegar todo dia.</w:t>
      </w:r>
    </w:p>
    <w:p>
      <w:pPr>
        <w:pStyle w:val="Heading2"/>
        <w:spacing w:after="110" w:before="240"/>
      </w:pPr>
      <w:r>
        <w:t xml:space="preserve">4.4 Filtro de correlação</w:t>
      </w:r>
    </w:p>
    <w:p>
      <w:pPr>
        <w:spacing w:after="140"/>
      </w:pPr>
      <w:r>
        <w:t xml:space="preserve">O score purificado é escalado por </w:t>
      </w:r>
      <w:r>
        <w:rPr>
          <w:i/>
          <w:iCs/>
        </w:rPr>
        <w:t xml:space="preserve">max(|correlação móvel real com o índice|, corr_min)</w:t>
      </w:r>
      <w:r>
        <w:t xml:space="preserve"> — o piso </w:t>
      </w:r>
      <w:r>
        <w:rPr>
          <w:i/>
          <w:iCs/>
        </w:rPr>
        <w:t xml:space="preserve">corr_min</w:t>
      </w:r>
      <w:r>
        <w:t xml:space="preserve"> existe especificamente para não suprimir sinal genuíno de setores estruturalmente defensivos (baixa correlação histórica por natureza, não por ruído), que ficariam artificialmente amortecidos em quebras de regime.</w:t>
      </w:r>
    </w:p>
    <w:p>
      <w:pPr>
        <w:pStyle w:val="Heading1"/>
        <w:spacing w:after="150" w:before="340"/>
      </w:pPr>
      <w:r>
        <w:t xml:space="preserve">5. Correções Críticas de Integridade</w:t>
      </w:r>
    </w:p>
    <w:p>
      <w:pPr>
        <w:spacing w:after="140"/>
      </w:pPr>
      <w:r>
        <w:t xml:space="preserve">Bugs encontrados e corrigidos ao longo do desenvolvimento, cada um com o sintoma real que revelou o problema — registro mantido por disciplina de auditoria, não para ocultar que existiram.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00"/>
        <w:gridCol w:w="2850"/>
      </w:tblGrid>
      <w:tr>
        <w:tc>
          <w:tcPr>
            <w:tcW w:type="dxa" w:w="310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40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Sintoma observado</w:t>
            </w:r>
          </w:p>
        </w:tc>
        <w:tc>
          <w:tcPr>
            <w:tcW w:type="dxa" w:w="2850"/>
            <w:shd w:fill="0B1B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CDI em retorno total vs. equities em retorno excedente (P0.1)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Carteira quase sempre 100% em CDI, mesmo com views de sentimento fortes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CDI entra na otimização com retorno excedente = 0 (por definição, é o ativo livre de risco)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Ausência de notícia virava view neutra (P0.5)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Q=0/Ω=0,03 injetado para todo ativo sem sinal, puxando a posterior para baixo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Ativo sem sinal simplesmente não entra nos dicionários de view — posterior colapsa ao prior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Falha de provider indistinguível de score neutro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score_meta diluído em até 1/3 quando 2 de 3 LLMs falhavam (crédito insuficiente)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Falha grava NaN, não 0.0 — ignorado corretamente por median()/mean()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Pesos negativos sobrevivendo à renormalização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Gráfico de alocação falhava: ativo com peso simultaneamente positivo e negativo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Truncamento em zero antes de renormalizar, com aviso explícito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Orientação invertida no aviso de calibração de τ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Aviso dizia “reduza τ” quando o correto era aumentar — reduzir τ piora a dominância do prior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Mensagem corrigida; direção verificada matematicamente (precisão do prior = (τΣ)⁻¹)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Indexação fixa no Agente 2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score_obj[0] sempre lia Anthropic, mesmo quando outro provider era pedido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chama e lê os providers efetivamente presentes na chamada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Recalibração de corr_min falhando silenciosamente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Coluna 'correlacao' nunca construída no histórico acumulado — sempre caía no default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Coluna calculada via correlação móvel real antes de chamar o grid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Cores CDI_RF e OUTROS idênticas no gráfico de alocação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Duas séries indistinguíveis visualmente (colormap contínuo colidindo)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Paleta explícita, validada computacionalmente (distância RGB mínima ≥ 70 entre qualquer par)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Estouro de memória (~7 GiB) no gráfico de alocação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ArrayMemoryError — índice de datas com frequência irregular confundia o locator do matplotlib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Índice convertido para rótulos de texto antes de plotar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CDI do gráfico com taxa fixa de 10% a.a.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Linha do benchmark CDI não batia com a taxa real usada na simulação da carteira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Gráfico usa a mesma tabela de Selic histórica anual real da simulação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Correções operacionais adicionais: migração do SDK do Gemini (google-generativeai, descontinuado, para google-genai), entity resolution na coleta de notícias via RSS (reconhecimento por nome da empresa, não só por código de ticker), e cache SQLite de sentimento com a política de nunca persistir falha.</w:t>
      </w:r>
    </w:p>
    <w:p>
      <w:pPr>
        <w:pStyle w:val="Heading1"/>
        <w:spacing w:after="150" w:before="340"/>
      </w:pPr>
      <w:r>
        <w:t xml:space="preserve">6. Calibração e Disciplina Estatística</w:t>
      </w:r>
    </w:p>
    <w:p>
      <w:pPr>
        <w:spacing w:after="140"/>
      </w:pPr>
      <w:r>
        <w:t xml:space="preserve">Os três parâmetros adaptativos do pipeline — </w:t>
      </w:r>
      <w:r>
        <w:rPr>
          <w:i/>
          <w:iCs/>
        </w:rPr>
        <w:t xml:space="preserve">τ</w:t>
      </w:r>
      <w:r>
        <w:t xml:space="preserve">, </w:t>
      </w:r>
      <w:r>
        <w:rPr>
          <w:i/>
          <w:iCs/>
        </w:rPr>
        <w:t xml:space="preserve">epsilon_min</w:t>
      </w:r>
      <w:r>
        <w:t xml:space="preserve"> e </w:t>
      </w:r>
      <w:r>
        <w:rPr>
          <w:i/>
          <w:iCs/>
        </w:rPr>
        <w:t xml:space="preserve">corr_min</w:t>
      </w:r>
      <w:r>
        <w:t xml:space="preserve"> — são recalibrados via grid walk-forward (13 candidatos cada), usando estritamente dados conhecidos até </w:t>
      </w:r>
      <w:r>
        <w:rPr>
          <w:i/>
          <w:iCs/>
        </w:rPr>
        <w:t xml:space="preserve">t−1</w:t>
      </w:r>
      <w:r>
        <w:t xml:space="preserve"> no momento de cada rebalanceamento. Nenhuma recalibração usa informação futura em relação à decisão sendo tomada naquele instante.</w:t>
      </w:r>
    </w:p>
    <w:p>
      <w:pPr>
        <w:spacing w:after="140"/>
      </w:pPr>
      <w:r>
        <w:t xml:space="preserve">O Sharpe reportado é deflacionado pelo número real de candidatos testados nos grids (Deflated Sharpe Ratio, Bailey &amp; López de Prado, 2014) — resposta direta à preocupação de que múltiplos parâmetros calibrados sobre a mesma amostra inflam artificialmente o Sharpe aparente, o mesmo tipo de fragilidade identificada na crítica ao paper de referência do projeto (Sharpe de 3,02 sem esse tipo de desconto). Um teste preliminar com a variância de trials usada como valor de referência (não a variância real observada nos grids) produziu DSR próximo de zero para um Sharpe de 1,2 com 26 candidatos testados — resultado que precisa ser recalculado com a variância real antes de qualquer conclusão, mas que já demonstra a sensibilidade da métrica ao número de tentativas.</w:t>
      </w:r>
    </w:p>
    <w:p>
      <w:pPr>
        <w:pStyle w:val="Heading1"/>
        <w:spacing w:after="150" w:before="340"/>
      </w:pPr>
      <w:r>
        <w:t xml:space="preserve">7. Limitações Declaradas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Corpus histórico de notícias: o coletor via RSS só captura itens recentes, servindo apenas à camada de demonstração ao vivo/forward-test — não existe, ainda, uma fonte histórica real para o período 2018-2024 (alternativa avaliada: documentos oficiais da CVM, não implementada).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Reprodutibilidade: a simulação de preenchimento de preços ausentes usa uma seed derivada de hash(ticker), que não é estável entre processos Python diferentes (hash de string é randomizado por padrão) — duas execuções podem gerar preenchimentos ligeiramente diferentes para o mesmo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Imposto de Renda simplificado: sem rastreamento FIFO completo (ver Seção 3.2).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Cadência de recalibração de corr_min (30 dias) é uma escolha ainda não validada com dado real extenso — só a cadência trimestral de epsilon_min foi uma decisão deliberada e testada.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Testes automatizados foram validados via scripts ad-hoc durante o desenvolvimento, não empacotados como suíte de regressão permanente no repositório.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Dependência de crédito pago nos três providers de LLM para produzir sinal real em escala — tier gratuito do Gemini limitado a 20 chamadas/dia, Anthropic e OpenAI sem tier gratuito.</w:t>
      </w:r>
    </w:p>
    <w:p>
      <w:pPr>
        <w:spacing w:before="300"/>
      </w:pPr>
    </w:p>
    <w:p>
      <w:r>
        <w:rPr>
          <w:i/>
          <w:iCs/>
          <w:color w:val="666666"/>
          <w:sz w:val="17"/>
          <w:szCs w:val="17"/>
        </w:rPr>
        <w:t xml:space="preserve">Documento substitui integralmente Fase0_Premissas_QuantAI.docx e Fase1_Consolidado_QuantAI.docx — fonte única de verdade a partir desta versão.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0B1B3D"/>
      <w:sz w:val="28"/>
      <w:szCs w:val="28"/>
    </w:rPr>
  </w:style>
  <w:style w:type="paragraph" w:styleId="Heading2">
    <w:name w:val="Heading 2"/>
    <w:basedOn w:val="Normal"/>
    <w:next w:val="Normal"/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rPr>
      <w:b/>
      <w:bCs/>
      <w:color w:val="44546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2026-08-15T12:05:19.871Z</dcterms:created>
  <dcterms:modified xsi:type="dcterms:W3CDTF">2026-08-15T12:05:19.883Z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