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Documento de Premissas — Fase 0</w:t>
      </w:r>
    </w:p>
    <w:p>
      <w:pPr>
        <w:spacing w:after="60"/>
      </w:pPr>
      <w:r>
        <w:rPr>
          <w:i/>
          <w:iCs/>
          <w:color w:val="444444"/>
          <w:sz w:val="24"/>
          <w:szCs w:val="24"/>
        </w:rPr>
        <w:t xml:space="preserve">Fundamentação Teórica, Crítica de Literatura e Adaptação ao Mercado B3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Projeto Quant AI — Otimização de Portfólio com Black-Litterman e Sentimento Multi-LLM · Itaú Quantamental Challenge 2026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60" w:before="360"/>
      </w:pPr>
      <w:r>
        <w:t xml:space="preserve">1. Objetivo e Escopo</w:t>
      </w:r>
    </w:p>
    <w:p>
      <w:pPr>
        <w:spacing w:after="160"/>
      </w:pPr>
      <w:r>
        <w:t xml:space="preserve">Este documento consolida as decisões teóricas e metodológicas estabelecidas na Fase 0 do projeto, antes do início da codificação dos 8 agentes definidos na Fase 1. Serve como referência de premissas assumidas, riscos identificados e mitigações desenhadas, para que a implementação seja rastreável às decisões que a justificam.</w:t>
      </w:r>
    </w:p>
    <w:p>
      <w:pPr>
        <w:spacing w:after="160"/>
      </w:pPr>
      <w:r>
        <w:t xml:space="preserve">Escopo core: </w:t>
      </w:r>
      <w:r>
        <w:rPr>
          <w:i/>
          <w:iCs/>
        </w:rPr>
        <w:t xml:space="preserve">integração de sentimento multi-LLM ao framework Black-Litterman para otimização de portfólio no universo Ibovespa/B3, com filtro de correlação histórica e decaimento temporal via simulação de Monte Carlo (processo de Wiener).</w:t>
      </w:r>
    </w:p>
    <w:p>
      <w:pPr>
        <w:pStyle w:val="Heading1"/>
        <w:spacing w:after="160" w:before="360"/>
      </w:pPr>
      <w:r>
        <w:t xml:space="preserve">2. Mapeamento dos Documentos de Referência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6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no Projeto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Mantshimuli et al. (2025) — IMFI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Paper-base 1: sentimento multi-LLM agregado via LSTM, integrado ao BL como view de retorno absoluto (S&amp;P 500).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Colasanto et al. (2022)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Paper-base 2: sentimento BERT único + decaimento temporal via processo de Wiener, integrado ao BL.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NewsWhisper (AADF)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Precedente do Itaú Quantamental Challenge — sentimento geopolítico aplicado a portfólio.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APTUS (AAAY)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Precedente com regime-switching via HMM (Selic/IPCA/Dólar), sem NLP — contraponto metodológico.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Guia de Primeiros Passos / Edital 2026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Regras de avaliação da competição, flexibilidade de ativos, critérios de honestidade analítica.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3. Crítica ao Paper-Base (Mantshimuli et al., 2025)</w:t>
      </w:r>
    </w:p>
    <w:p>
      <w:pPr>
        <w:spacing w:after="160"/>
      </w:pPr>
      <w:r>
        <w:t xml:space="preserve">O Sharpe Ratio reportado (</w:t>
      </w:r>
      <w:r>
        <w:rPr>
          <w:b/>
          <w:bCs/>
        </w:rPr>
        <w:t xml:space="preserve">3.02</w:t>
      </w:r>
      <w:r>
        <w:t xml:space="preserve">, vs. benchmark de mercado) é estatisticamente anômalo para uma estratégia de equities e foi tratado como bandeira vermelha, não como resultado a ser replicado sem escrutínio. Três fontes de viés potencial foram identificadas: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Look-ahead bias no alinhamento timestamp da notícia vs. preço de referência do retorno realizado.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Survivorship bias: uso do universo atual de constituintes aplicado retroativamente ao período de backtest.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Ausência de custos de transação (corretagem, emolumentos, slippage) no retorno líquido reportado.</w:t>
      </w:r>
    </w:p>
    <w:p>
      <w:pPr>
        <w:spacing w:after="160"/>
      </w:pPr>
      <w:r>
        <w:t xml:space="preserve">Verificação adicional na metodologia do paper (Eq. 11-12): </w:t>
      </w:r>
      <w:r>
        <w:rPr>
          <w:i/>
          <w:iCs/>
        </w:rPr>
        <w:t xml:space="preserve">Q</w:t>
      </w:r>
      <w:r>
        <w:t xml:space="preserve"> não deriva diretamente do Meta-Score de sentimento — é calculado a partir de um segundo modelo LSTM de previsão de preço que usa o sentimento como feature. </w:t>
      </w:r>
      <w:r>
        <w:rPr>
          <w:i/>
          <w:iCs/>
        </w:rPr>
        <w:t xml:space="preserve">Ω</w:t>
      </w:r>
      <w:r>
        <w:t xml:space="preserve"> não possui, no texto revisado, um mecanismo explícito de derivação a partir da divergência entre os 3 LLMs, apesar do próprio paper reportar divergência relevante entre eles — lacuna metodológica assumida como ponto de melhoria neste projeto (Seção 6).</w:t>
      </w:r>
    </w:p>
    <w:p>
      <w:pPr>
        <w:pStyle w:val="Heading1"/>
        <w:spacing w:after="160" w:before="360"/>
      </w:pPr>
      <w:r>
        <w:t xml:space="preserve">4. Riscos de Backtest e Mitigações</w:t>
      </w:r>
    </w:p>
    <w:p>
      <w:pPr>
        <w:pStyle w:val="Heading2"/>
        <w:spacing w:after="120" w:before="280"/>
      </w:pPr>
      <w:r>
        <w:t xml:space="preserve">4.1 Look-ahead bias</w:t>
      </w:r>
    </w:p>
    <w:p>
      <w:pPr>
        <w:spacing w:after="160"/>
      </w:pPr>
      <w:r>
        <w:t xml:space="preserve">Regra de integridade obrigatória no Data Agent: o timestamp da notícia deve preceder estritamente o timestamp de decisão, que por sua vez deve preceder ou coincidir com o início da janela de preço usada no cálculo do retorno.</w:t>
      </w:r>
    </w:p>
    <w:p>
      <w:pPr>
        <w:shd w:fill="F2F2F2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timestamp(notícia) &lt; timestamp(decisão) ≤ timestamp(preço de referência)</w:t>
      </w:r>
    </w:p>
    <w:p>
      <w:pPr>
        <w:spacing w:after="160"/>
      </w:pPr>
      <w:r>
        <w:t xml:space="preserve">Preenchimento de dados de preço ausentes (gaps) deve ser estritamente forward-only (simulação de Wiener a partir do último preço válido, usando apenas volatilidade histórica conhecida até t−1). Interpolação linear clássica é proibida por utilizar preço futuro (t+1) no cálculo.</w:t>
      </w:r>
    </w:p>
    <w:p>
      <w:pPr>
        <w:pStyle w:val="Heading2"/>
        <w:spacing w:after="120" w:before="280"/>
      </w:pPr>
      <w:r>
        <w:t xml:space="preserve">4.2 Survivorship bias e universo Point-in-Time (PIT)</w:t>
      </w:r>
    </w:p>
    <w:p>
      <w:pPr>
        <w:spacing w:after="160"/>
      </w:pPr>
      <w:r>
        <w:t xml:space="preserve">O viés de sobrevivência não é resolvido pela frequência de exclusões do índice, mas pela magnitude da cauda de retorno omitida — eventos raros e severos (ex.: fraude contábil, delisting abrupto) são justamente os mais distorcivos para o Sharpe Ratio.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 universo elegível em cada data de rebalanceamento deve refletir a composição real do Ibovespa naquela data (dados quadrimestrais da B3), não a composição atual projetada retroativamente.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Redução do universo para um subconjunto de maior liquidez (10–15 ativos + ETFs) é aceitável por razões de dimensionalidade (Seção 4.3), desde que a seleção seja feita dentro de cada janela PIT — nunca como lista fixa definida no presente.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Ativos delistados recebem retorno de saída explícito (convenção análoga ao CRSP), preservando a perda real na série em vez de truncar silenciosamente a amostra.</w:t>
      </w:r>
    </w:p>
    <w:p>
      <w:pPr>
        <w:pStyle w:val="Heading2"/>
        <w:spacing w:after="120" w:before="280"/>
      </w:pPr>
      <w:r>
        <w:t xml:space="preserve">4.3 Turnover e custos de transação</w:t>
      </w:r>
    </w:p>
    <w:p>
      <w:pPr>
        <w:shd w:fill="F2F2F2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Turnover_t = (1/2) · Σ|w_{i,t} − w_{i,t⁻}|</w:t>
      </w:r>
    </w:p>
    <w:p>
      <w:pPr>
        <w:spacing w:after="160"/>
      </w:pPr>
      <w:r>
        <w:t xml:space="preserve">Custos relevantes no contexto B3 (não presentes no mercado de origem do paper-base): emolumentos B3, corretagem, slippage em ativos de menor liquidez, e Imposto de Renda sobre ganho de capital (15% swing / 20% day trade). Não é obrigatório pelo edital modelar custos explicitamente, mas sua omissão deve ser declarada como limitação explícita se a frequência de rebalanceamento escolhida gerar turnover elevado.</w:t>
      </w:r>
    </w:p>
    <w:p>
      <w:pPr>
        <w:pStyle w:val="Heading1"/>
        <w:spacing w:after="160" w:before="360"/>
      </w:pPr>
      <w:r>
        <w:t xml:space="preserve">5. Adaptação ao Mercado Brasileiro (B3)</w:t>
      </w:r>
    </w:p>
    <w:p>
      <w:pPr>
        <w:pStyle w:val="Heading2"/>
        <w:spacing w:after="120" w:before="280"/>
      </w:pPr>
      <w:r>
        <w:t xml:space="preserve">5.1 Taxa livre de risco e prior de equilíbrio</w:t>
      </w:r>
    </w:p>
    <w:p>
      <w:pPr>
        <w:spacing w:after="160"/>
      </w:pPr>
      <w:r>
        <w:t xml:space="preserve">O CDI/Selic historicamente elevado (dois dígitos) eleva substancialmente o hurdle rate implícito para qualquer alocação em renda variável, em contraste com o ambiente de juros do mercado de origem dos papers-base. Isso altera a escala relativa entre o prior de equilíbrio e as views de sentimento — um mesmo desvio de sentimento tem peso econômico diferente em cada regime de juros.</w:t>
      </w:r>
    </w:p>
    <w:p>
      <w:pPr>
        <w:shd w:fill="F2F2F2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Π = δ · Σ · w_mkt</w:t>
      </w:r>
    </w:p>
    <w:p>
      <w:pPr>
        <w:spacing w:after="160"/>
      </w:pPr>
      <w:r>
        <w:t xml:space="preserve">O escalar de risco-aversão </w:t>
      </w:r>
      <w:r>
        <w:rPr>
          <w:i/>
          <w:iCs/>
        </w:rPr>
        <w:t xml:space="preserve">δ</w:t>
      </w:r>
      <w:r>
        <w:t xml:space="preserve"> e o parâmetro de incerteza do prior </w:t>
      </w:r>
      <w:r>
        <w:rPr>
          <w:i/>
          <w:iCs/>
        </w:rPr>
        <w:t xml:space="preserve">τ</w:t>
      </w:r>
      <w:r>
        <w:t xml:space="preserve"> devem ser recalibrados para o regime de juros doméstico, não herdados diretamente dos papers-base.</w:t>
      </w:r>
    </w:p>
    <w:p>
      <w:pPr>
        <w:pStyle w:val="Heading2"/>
        <w:spacing w:after="120" w:before="280"/>
      </w:pPr>
      <w:r>
        <w:t xml:space="preserve">5.2 Liquidez concentrada e dimensionalidade (N/T)</w:t>
      </w:r>
    </w:p>
    <w:p>
      <w:pPr>
        <w:spacing w:after="160"/>
      </w:pPr>
      <w:r>
        <w:t xml:space="preserve">A concentração de liquidez em um subconjunto do Ibovespa limita a qualidade de condicionamento da matriz de covariância. A razão N/T (número de ativos / número de observações) impacta diretamente a estabilidade dos autovalores de Σ — mitigada por shrinkage de Ledoit-Wolf e, complementarmente, por covariância pairwise-complete para acomodar o painel desbalanceado gerado por delistagens (Seção 4.2).</w:t>
      </w:r>
    </w:p>
    <w:p>
      <w:pPr>
        <w:pStyle w:val="Heading2"/>
        <w:spacing w:after="120" w:before="280"/>
      </w:pPr>
      <w:r>
        <w:t xml:space="preserve">5.3 Escassez de corpus textual em português</w:t>
      </w:r>
    </w:p>
    <w:p>
      <w:pPr>
        <w:spacing w:after="160"/>
      </w:pPr>
      <w:r>
        <w:t xml:space="preserve">O volume de notícias financeiras em português é ordens de magnitude menor que o dataset FNSPID utilizado no paper-base. Isso implica sinais de sentimento mais esparsos e ruidosos, reforçando a necessidade do Correlation Filter (Agente 4) como mecanismo de purificação/shrinkage do sinal antes de sua integração ao BL.</w:t>
      </w:r>
    </w:p>
    <w:p>
      <w:pPr>
        <w:pStyle w:val="Heading1"/>
        <w:spacing w:after="160" w:before="360"/>
      </w:pPr>
      <w:r>
        <w:t xml:space="preserve">6. Especificação Matemática — BL Adaptado</w:t>
      </w:r>
    </w:p>
    <w:p>
      <w:pPr>
        <w:spacing w:after="160"/>
      </w:pPr>
      <w:r>
        <w:t xml:space="preserve">Equação posterior do Black-Litterman (retorno esperado combinado):</w:t>
      </w:r>
    </w:p>
    <w:p>
      <w:pPr>
        <w:shd w:fill="F2F2F2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E[R] = [(τΣ)⁻¹ + PᵀΩ⁻¹P]⁻¹ · [(τΣ)⁻¹Π + PᵀΩ⁻¹Q]</w:t>
      </w:r>
    </w:p>
    <w:p>
      <w:pPr>
        <w:spacing w:after="160"/>
      </w:pPr>
      <w:r>
        <w:t xml:space="preserve">Derivação das entradas de view a partir do pipeline de sentimento: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Q (valor da view): </w:t>
      </w:r>
      <w:r>
        <w:t xml:space="preserve">derivado do Meta-Score de sentimento agregado (Agente 3), escalado para retorno esperado.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Ω (incerteza da view): derivado da variância entre os 3 scores individuais de LLM no mesmo instante — maior discordância entre modelos implica maior incerteza e menor peso da view na posterior.</w:t>
      </w:r>
    </w:p>
    <w:p>
      <w:pPr>
        <w:shd w:fill="F2F2F2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ω_i = max( Var(s₁,ᵢ, s₂,ᵢ, s₃,ᵢ) , ε_min )</w:t>
      </w:r>
    </w:p>
    <w:p>
      <w:pPr>
        <w:spacing w:after="160"/>
      </w:pPr>
      <w:r>
        <w:t xml:space="preserve">O piso mínimo </w:t>
      </w:r>
      <w:r>
        <w:rPr>
          <w:i/>
          <w:iCs/>
        </w:rPr>
        <w:t xml:space="preserve">ε_min</w:t>
      </w:r>
      <w:r>
        <w:t xml:space="preserve"> evita indefinição numérica de </w:t>
      </w:r>
      <w:r>
        <w:rPr>
          <w:i/>
          <w:iCs/>
        </w:rPr>
        <w:t xml:space="preserve">Ω⁻¹</w:t>
      </w:r>
      <w:r>
        <w:t xml:space="preserve"> no caso de concordância perfeita entre os 3 LLMs (variância = 0). Concordância perfeita implica confiança máxima e, portanto, peso máximo da view — o piso existe por razão numérica, não estratégica, e deve ser calibrado empiricamente a partir do erro histórico do Meta-Score (retroalimentação do Agente 8 / Validator, defasada em t−1 para evitar circularidade com o Agente 4).</w:t>
      </w:r>
    </w:p>
    <w:p>
      <w:pPr>
        <w:pStyle w:val="Heading1"/>
        <w:spacing w:after="160" w:before="360"/>
      </w:pPr>
      <w:r>
        <w:t xml:space="preserve">7. Desacoplamento Sinal/Execução</w:t>
      </w:r>
    </w:p>
    <w:p>
      <w:pPr>
        <w:spacing w:after="160"/>
      </w:pPr>
      <w:r>
        <w:t xml:space="preserve">A frequência de recálculo do sinal (Meta-Score e pesos-alvo do BL) é desacoplada da frequência de execução/rebalanceamento efetivo, para evitar pagar custo de transação sobre ruído de baixa magnitude entre LLMs.</w:t>
      </w:r>
    </w:p>
    <w:p>
      <w:pPr>
        <w:shd w:fill="F2F2F2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banda_i = σ(peso-alvo histórico do ativo i) × fator_liquidez</w:t>
      </w:r>
    </w:p>
    <w:p>
      <w:pPr>
        <w:spacing w:after="160"/>
      </w:pPr>
      <w:r>
        <w:t xml:space="preserve">Fator de liquidez de referência: 1,0 desvio-padrão para ativos de maior liquidez; 1,5 desvio-padrão para ativos de menor liquidez. O rebalanceamento efetivo só é executado quando o desvio entre peso-alvo e peso atual excede a banda correspondente.</w:t>
      </w:r>
    </w:p>
    <w:p>
      <w:pPr>
        <w:pStyle w:val="Heading1"/>
        <w:spacing w:after="160" w:before="360"/>
      </w:pPr>
      <w:r>
        <w:t xml:space="preserve">8. Arquitetura de Agentes — Contrato de Dados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5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Cadência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— Universe &amp; Reference Data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Composição PIT do Ibovespa, eventos de delistagem, calendário de pregão B3.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Quadrimestral / sob demanda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— Data Agent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Preços diários e alinhamento de timestamps de notícias, dado o universo do Agente 0.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— Sentiment Agents (×3)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Extração de polaridade (-1 a 1) por LLM independente.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Diária / por evento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— Aggregation Agent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Meta-Score de consenso entre os 3 LLMs.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— Correlation Filter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Purificação do sinal via correlação histórica + derivação de Ω (variância entre LLMs, calibrada com defasagem do Agente 8).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— Monte Carlo Agent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Decaimento temporal via processo de Wiener; gera Q e nível de confiança.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— BL Optimizer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Cálculo de τ, Ω, posterior e pesos-alvo.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— Rebalancing Agent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Aplicação da banda de não-negociação, turnover e custos B3.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Condicional (gatilho de banda)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— Validator Agent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Backtest walk-forward out-of-sample; retroalimenta calibração de ε_min.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Pós-backtest / contínua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9. Premissas Consolidadas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Universo de backtest construído point-in-time, nunca com composição atual aplicada retroativamente.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Nenhuma interpolação bidirecional de preços; apenas simulação forward-only.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Prior de equilíbrio via reverse optimization, recalibrado para o regime de juros doméstico (CDI/Selic).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Ω derivado da divergência entre LLMs, com piso mínimo calibrado empiricamente.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Execução de rebalanceamento desacoplada do recálculo diário do sinal, via banda de não-negociação proporcional à liquidez.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Covariância pairwise-complete + shrinkage de Ledoit-Wolf para lidar com painel desbalanceado por delistagens.</w:t>
      </w:r>
    </w:p>
    <w:p>
      <w:pPr>
        <w:pStyle w:val="Heading1"/>
        <w:spacing w:after="160" w:before="360"/>
      </w:pPr>
      <w:r>
        <w:t xml:space="preserve">10. Limitações Declaradas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Custos de transação podem ser modelados de forma simplificada (não obrigatório pelo edital), com declaração explícita de que o resultado líquido real seria inferior ao bruto reportado.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Corpus textual em português é significativamente menor que o dataset de referência dos papers-base, o que limita a densidade de sinal por ativo/dia, especialmente fora do núcleo de maior liquidez do Ibovespa.</w:t>
      </w:r>
    </w:p>
    <w:p>
      <w:pPr>
        <w:pStyle w:val="Heading1"/>
        <w:spacing w:after="160" w:before="360"/>
      </w:pPr>
      <w:r>
        <w:t xml:space="preserve">11. Extensões Futuras (fora do escopo core)</w:t>
      </w:r>
    </w:p>
    <w:p>
      <w:pPr>
        <w:spacing w:after="160"/>
      </w:pPr>
      <w:r>
        <w:t xml:space="preserve">Registradas para eventual trabalho futuro, deliberadamente fora da arquitetura dos 8 agentes para não desfocar o objetivo de cada um na primeira versão do pipeline: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Terceira fonte de view: análise fundamentalista estrutural por setor/tipo de empresa como prior alternativo ao equilíbrio de mercado cap-weighted.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Quarta fonte de informação: filtro técnico de confirmação via médias móveis exponenciais (curto, médio e longo prazo) como camada adicional de validação do sinal de sentimento.</w:t>
      </w:r>
    </w:p>
    <w:p>
      <w:pPr>
        <w:spacing w:before="400"/>
      </w:pPr>
    </w:p>
    <w:p>
      <w:r>
        <w:rPr>
          <w:i/>
          <w:iCs/>
          <w:color w:val="666666"/>
          <w:sz w:val="18"/>
          <w:szCs w:val="18"/>
        </w:rPr>
        <w:t xml:space="preserve">Documento gerado ao final da Fase 0 — pendente de aprovação explícita para avanço à Fase 1 (arquitetura e codificação dos agentes).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2026-07-17T00:35:26.530Z</dcterms:created>
  <dcterms:modified xsi:type="dcterms:W3CDTF">2026-07-17T00:35:26.530Z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