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1B31" w14:textId="6723CBDE" w:rsidR="006C311B" w:rsidRDefault="008419D9">
      <w:r>
        <w:t>Notes AMP</w:t>
      </w:r>
    </w:p>
    <w:p w14:paraId="316A6948" w14:textId="77777777" w:rsidR="008419D9" w:rsidRDefault="008419D9"/>
    <w:p w14:paraId="24553B1E" w14:textId="5E2DC447" w:rsidR="008419D9" w:rsidRDefault="008419D9" w:rsidP="008419D9">
      <w:pPr>
        <w:pStyle w:val="ListParagraph"/>
        <w:numPr>
          <w:ilvl w:val="0"/>
          <w:numId w:val="1"/>
        </w:numPr>
        <w:rPr>
          <w:lang w:val="fr-FR"/>
        </w:rPr>
      </w:pPr>
      <w:r w:rsidRPr="00B05072">
        <w:rPr>
          <w:b/>
          <w:bCs/>
          <w:u w:val="single"/>
          <w:lang w:val="fr-FR"/>
        </w:rPr>
        <w:t>Weak vs Strong Garch</w:t>
      </w:r>
      <w:r w:rsidRPr="008419D9">
        <w:rPr>
          <w:lang w:val="fr-FR"/>
        </w:rPr>
        <w:t xml:space="preserve"> </w:t>
      </w:r>
      <w:r>
        <w:sym w:font="Wingdings" w:char="F0E0"/>
      </w:r>
      <w:r w:rsidRPr="008419D9">
        <w:rPr>
          <w:lang w:val="fr-FR"/>
        </w:rPr>
        <w:t xml:space="preserve"> Strong si </w:t>
      </w:r>
      <w:r w:rsidRPr="008419D9">
        <w:t>ε</w:t>
      </w:r>
      <w:r w:rsidRPr="008419D9">
        <w:rPr>
          <w:lang w:val="fr-FR"/>
        </w:rPr>
        <w:t xml:space="preserve">t sont idd et weak si la projection linéaire </w:t>
      </w:r>
      <w:r w:rsidRPr="008419D9">
        <w:t>ε</w:t>
      </w:r>
      <w:r w:rsidRPr="008419D9">
        <w:rPr>
          <w:lang w:val="fr-FR"/>
        </w:rPr>
        <w:t>t^2 su</w:t>
      </w:r>
      <w:r>
        <w:rPr>
          <w:lang w:val="fr-FR"/>
        </w:rPr>
        <w:t xml:space="preserve">r son passé a la forme garch mais sans idd. </w:t>
      </w:r>
    </w:p>
    <w:p w14:paraId="6ADDB77B" w14:textId="162BB4E5" w:rsidR="008419D9" w:rsidRDefault="008419D9" w:rsidP="008419D9">
      <w:pPr>
        <w:pStyle w:val="ListParagraph"/>
        <w:numPr>
          <w:ilvl w:val="0"/>
          <w:numId w:val="1"/>
        </w:numPr>
        <w:rPr>
          <w:lang w:val="fr-FR"/>
        </w:rPr>
      </w:pPr>
      <w:r w:rsidRPr="008419D9">
        <w:rPr>
          <w:lang w:val="fr-FR"/>
        </w:rPr>
        <w:t>Nous on a un weak garch car on agrège un G</w:t>
      </w:r>
      <w:r>
        <w:rPr>
          <w:lang w:val="fr-FR"/>
        </w:rPr>
        <w:t xml:space="preserve">ARCH(1,1) journalier en fréquence mensuelle, on test si c’est correct </w:t>
      </w:r>
      <w:r w:rsidRPr="008419D9">
        <w:rPr>
          <w:lang w:val="fr-FR"/>
        </w:rPr>
        <w:t>via le test Mincer-Zarnowitz</w:t>
      </w:r>
      <w:r>
        <w:rPr>
          <w:lang w:val="fr-FR"/>
        </w:rPr>
        <w:t xml:space="preserve"> (et c good avec </w:t>
      </w:r>
      <w:r w:rsidRPr="008419D9">
        <w:t>β</w:t>
      </w:r>
      <w:r w:rsidRPr="008419D9">
        <w:rPr>
          <w:lang w:val="fr-FR"/>
        </w:rPr>
        <w:t xml:space="preserve">_MZ </w:t>
      </w:r>
      <w:r>
        <w:rPr>
          <w:lang w:val="fr-FR"/>
        </w:rPr>
        <w:t>= 0.875)</w:t>
      </w:r>
    </w:p>
    <w:p w14:paraId="190346C1" w14:textId="4875D434" w:rsidR="008419D9" w:rsidRDefault="00B83F04" w:rsidP="00B83F04">
      <w:pPr>
        <w:pStyle w:val="ListParagraph"/>
        <w:numPr>
          <w:ilvl w:val="0"/>
          <w:numId w:val="1"/>
        </w:numPr>
        <w:rPr>
          <w:lang w:val="fr-FR"/>
        </w:rPr>
      </w:pPr>
      <w:r w:rsidRPr="00B05072">
        <w:rPr>
          <w:b/>
          <w:bCs/>
          <w:u w:val="single"/>
          <w:lang w:val="fr-FR"/>
        </w:rPr>
        <w:t>Leverage effect</w:t>
      </w:r>
      <w:r>
        <w:rPr>
          <w:lang w:val="fr-FR"/>
        </w:rPr>
        <w:t xml:space="preserve"> -&gt; rendements négatifs augmentent la vol future, cf Black 1976 (action baisse alors fond propre baisse mais pas la dette de l’entreprise donc mécanisme financier -&gt; levier augmente donc plus risqué) et cf Christie 1982 (chocs négatifs -&gt; mécanisme comportemental -&gt; panique et fuite vers actifs plus sûrs). C’est ce que capture </w:t>
      </w:r>
      <w:r w:rsidRPr="00B83F04">
        <w:t>γ</w:t>
      </w:r>
      <w:r w:rsidRPr="00AF44F3">
        <w:rPr>
          <w:lang w:val="fr-FR"/>
        </w:rPr>
        <w:t xml:space="preserve"> dans le gjr</w:t>
      </w:r>
      <w:r w:rsidR="00AF44F3" w:rsidRPr="00AF44F3">
        <w:rPr>
          <w:lang w:val="fr-FR"/>
        </w:rPr>
        <w:t xml:space="preserve"> et e</w:t>
      </w:r>
      <w:r w:rsidR="00AF44F3">
        <w:rPr>
          <w:lang w:val="fr-FR"/>
        </w:rPr>
        <w:t xml:space="preserve">garch alors que dans Garch </w:t>
      </w:r>
      <w:r w:rsidR="00AF44F3" w:rsidRPr="00AF44F3">
        <w:t>γ</w:t>
      </w:r>
      <w:r w:rsidR="00AF44F3" w:rsidRPr="00AF44F3">
        <w:rPr>
          <w:lang w:val="fr-FR"/>
        </w:rPr>
        <w:t xml:space="preserve"> </w:t>
      </w:r>
      <w:r w:rsidR="00AF44F3">
        <w:rPr>
          <w:lang w:val="fr-FR"/>
        </w:rPr>
        <w:t>= 0.</w:t>
      </w:r>
    </w:p>
    <w:p w14:paraId="7AA339E0" w14:textId="02464DBA" w:rsidR="008B0200" w:rsidRDefault="00562A6D" w:rsidP="00B83F04">
      <w:pPr>
        <w:pStyle w:val="ListParagraph"/>
        <w:numPr>
          <w:ilvl w:val="0"/>
          <w:numId w:val="1"/>
        </w:numPr>
        <w:rPr>
          <w:lang w:val="fr-FR"/>
        </w:rPr>
      </w:pPr>
      <w:r w:rsidRPr="00B05072">
        <w:rPr>
          <w:b/>
          <w:bCs/>
          <w:u w:val="single"/>
          <w:lang w:val="fr-FR"/>
        </w:rPr>
        <w:t xml:space="preserve">Jobson-korkie </w:t>
      </w:r>
      <w:r w:rsidR="00212EF0" w:rsidRPr="00B05072">
        <w:rPr>
          <w:b/>
          <w:bCs/>
          <w:u w:val="single"/>
          <w:lang w:val="fr-FR"/>
        </w:rPr>
        <w:t>1</w:t>
      </w:r>
      <w:r w:rsidR="00F973A8" w:rsidRPr="00B05072">
        <w:rPr>
          <w:b/>
          <w:bCs/>
          <w:u w:val="single"/>
          <w:lang w:val="fr-FR"/>
        </w:rPr>
        <w:t xml:space="preserve">981) </w:t>
      </w:r>
      <w:r w:rsidR="00212EF0" w:rsidRPr="00B05072">
        <w:rPr>
          <w:b/>
          <w:bCs/>
          <w:u w:val="single"/>
          <w:lang w:val="fr-FR"/>
        </w:rPr>
        <w:t>et correction de Memmel (2003</w:t>
      </w:r>
      <w:r w:rsidR="00212EF0" w:rsidRPr="00B05072">
        <w:rPr>
          <w:b/>
          <w:bCs/>
          <w:lang w:val="fr-FR"/>
        </w:rPr>
        <w:t>)</w:t>
      </w:r>
      <w:r w:rsidR="00E5428A" w:rsidRPr="00E5428A">
        <w:rPr>
          <w:lang w:val="fr-FR"/>
        </w:rPr>
        <w:sym w:font="Wingdings" w:char="F0E0"/>
      </w:r>
      <w:r w:rsidR="00E5428A">
        <w:rPr>
          <w:lang w:val="fr-FR"/>
        </w:rPr>
        <w:t xml:space="preserve"> JKM </w:t>
      </w:r>
      <w:r w:rsidR="00E5428A" w:rsidRPr="00E5428A">
        <w:rPr>
          <w:lang w:val="fr-FR"/>
        </w:rPr>
        <w:sym w:font="Wingdings" w:char="F0E0"/>
      </w:r>
      <w:r>
        <w:rPr>
          <w:lang w:val="fr-FR"/>
        </w:rPr>
        <w:t xml:space="preserve"> </w:t>
      </w:r>
      <w:r w:rsidR="00394CE8">
        <w:rPr>
          <w:lang w:val="fr-FR"/>
        </w:rPr>
        <w:t>tests qui permet de comparer 2 sharpes ratios</w:t>
      </w:r>
      <w:r w:rsidR="00212EF0">
        <w:rPr>
          <w:lang w:val="fr-FR"/>
        </w:rPr>
        <w:t>, au début avec erreur corrigé</w:t>
      </w:r>
      <w:r w:rsidR="00F973A8">
        <w:rPr>
          <w:lang w:val="fr-FR"/>
        </w:rPr>
        <w:t xml:space="preserve"> en 2003 par Memmel. </w:t>
      </w:r>
      <w:r w:rsidR="00E5428A">
        <w:rPr>
          <w:lang w:val="fr-FR"/>
        </w:rPr>
        <w:t xml:space="preserve">On ne peut pas se contenter du JKM car suppose </w:t>
      </w:r>
      <w:r w:rsidR="00E77CFE">
        <w:rPr>
          <w:lang w:val="fr-FR"/>
        </w:rPr>
        <w:t xml:space="preserve">rendement iid et normalement distribués or pas le cas car rendement autocorrélés (vol ce mois dépend vol mois dernier) et queues épaisses </w:t>
      </w:r>
      <w:r w:rsidR="004A138B">
        <w:rPr>
          <w:lang w:val="fr-FR"/>
        </w:rPr>
        <w:t xml:space="preserve">donc pas distribution normale.  DONC on utilise la technique du bootstrap. </w:t>
      </w:r>
    </w:p>
    <w:p w14:paraId="72B84EE6" w14:textId="223ECC4B" w:rsidR="00FE44BA" w:rsidRDefault="00FE44BA" w:rsidP="00B83F04">
      <w:pPr>
        <w:pStyle w:val="ListParagraph"/>
        <w:numPr>
          <w:ilvl w:val="0"/>
          <w:numId w:val="1"/>
        </w:numPr>
        <w:rPr>
          <w:lang w:val="fr-FR"/>
        </w:rPr>
      </w:pPr>
      <w:r w:rsidRPr="00B05072">
        <w:rPr>
          <w:b/>
          <w:bCs/>
          <w:u w:val="single"/>
          <w:lang w:val="fr-FR"/>
        </w:rPr>
        <w:t>Bootstrap</w:t>
      </w:r>
      <w:r>
        <w:rPr>
          <w:lang w:val="fr-FR"/>
        </w:rPr>
        <w:t xml:space="preserve"> </w:t>
      </w:r>
      <w:r w:rsidRPr="00FE44BA">
        <w:rPr>
          <w:lang w:val="fr-FR"/>
        </w:rPr>
        <w:sym w:font="Wingdings" w:char="F0E0"/>
      </w:r>
      <w:r>
        <w:rPr>
          <w:lang w:val="fr-FR"/>
        </w:rPr>
        <w:t xml:space="preserve"> approche non-paramétrique (aucune hyppothèse sur la distribution)</w:t>
      </w:r>
      <w:r w:rsidR="00F03BF3">
        <w:rPr>
          <w:lang w:val="fr-FR"/>
        </w:rPr>
        <w:t xml:space="preserve"> qui utilise les données elles-mêmes pour construire la distribution de la statistique de test. </w:t>
      </w:r>
      <w:r w:rsidR="006657AA">
        <w:rPr>
          <w:lang w:val="fr-FR"/>
        </w:rPr>
        <w:t xml:space="preserve">Comment ça marche </w:t>
      </w:r>
      <w:r w:rsidR="006657AA" w:rsidRPr="006657AA">
        <w:rPr>
          <w:lang w:val="fr-FR"/>
        </w:rPr>
        <w:sym w:font="Wingdings" w:char="F0E0"/>
      </w:r>
      <w:r w:rsidR="00E870C9">
        <w:rPr>
          <w:lang w:val="fr-FR"/>
        </w:rPr>
        <w:t> ??????</w:t>
      </w:r>
    </w:p>
    <w:p w14:paraId="78E872E3" w14:textId="17FB8C99" w:rsidR="00E870C9" w:rsidRPr="00B83F04" w:rsidRDefault="00E870C9" w:rsidP="00B83F04">
      <w:pPr>
        <w:pStyle w:val="ListParagraph"/>
        <w:numPr>
          <w:ilvl w:val="0"/>
          <w:numId w:val="1"/>
        </w:numPr>
        <w:rPr>
          <w:lang w:val="fr-FR"/>
        </w:rPr>
      </w:pPr>
      <w:r w:rsidRPr="00B05072">
        <w:rPr>
          <w:b/>
          <w:bCs/>
          <w:u w:val="single"/>
          <w:lang w:val="fr-FR"/>
        </w:rPr>
        <w:t>Alpha régression Fama-French</w:t>
      </w:r>
      <w:r>
        <w:rPr>
          <w:lang w:val="fr-FR"/>
        </w:rPr>
        <w:t xml:space="preserve"> </w:t>
      </w:r>
      <w:r w:rsidRPr="00E870C9">
        <w:rPr>
          <w:lang w:val="fr-FR"/>
        </w:rPr>
        <w:sym w:font="Wingdings" w:char="F0E0"/>
      </w:r>
      <w:r>
        <w:rPr>
          <w:lang w:val="fr-FR"/>
        </w:rPr>
        <w:t xml:space="preserve"> </w:t>
      </w:r>
      <w:r w:rsidR="00725D6B">
        <w:rPr>
          <w:lang w:val="fr-FR"/>
        </w:rPr>
        <w:t>bon sharpe ratio ne prouve pas forcément que la strat ajoute de la valeur</w:t>
      </w:r>
      <w:r w:rsidR="00B05072">
        <w:rPr>
          <w:lang w:val="fr-FR"/>
        </w:rPr>
        <w:t xml:space="preserve">, </w:t>
      </w:r>
      <w:r w:rsidR="00B05072" w:rsidRPr="00B05072">
        <w:rPr>
          <w:lang w:val="fr-FR"/>
        </w:rPr>
        <w:t>Il se peut que la performance vienne simplement d'une exposition à des facteurs de risque connus et rémunérés</w:t>
      </w:r>
      <w:r w:rsidR="004C622E">
        <w:rPr>
          <w:lang w:val="fr-FR"/>
        </w:rPr>
        <w:t xml:space="preserve"> : </w:t>
      </w:r>
      <w:r w:rsidR="00B05072" w:rsidRPr="00B05072">
        <w:rPr>
          <w:lang w:val="fr-FR"/>
        </w:rPr>
        <w:t>le marché action, les petites capitalisations, la value, etc. Dans ce cas, un investisseur passif aurait pu répliquer la performance gratuitement.</w:t>
      </w:r>
    </w:p>
    <w:p w14:paraId="49C198ED" w14:textId="0CBD9058" w:rsidR="008419D9" w:rsidRDefault="008419D9" w:rsidP="008419D9">
      <w:pPr>
        <w:rPr>
          <w:lang w:val="fr-FR"/>
        </w:rPr>
      </w:pPr>
      <w:r>
        <w:rPr>
          <w:lang w:val="fr-FR"/>
        </w:rPr>
        <w:t xml:space="preserve">QUESTIONS </w:t>
      </w:r>
    </w:p>
    <w:p w14:paraId="371B2FA1" w14:textId="7F6126E2" w:rsidR="008419D9" w:rsidRDefault="008419D9" w:rsidP="008419D9">
      <w:pPr>
        <w:pStyle w:val="ListParagraph"/>
        <w:numPr>
          <w:ilvl w:val="0"/>
          <w:numId w:val="1"/>
        </w:numPr>
        <w:rPr>
          <w:lang w:val="fr-FR"/>
        </w:rPr>
      </w:pPr>
      <w:r>
        <w:rPr>
          <w:lang w:val="fr-FR"/>
        </w:rPr>
        <w:t>Donne tous les tests que l’on fait dans le papier et à quoi ils servent</w:t>
      </w:r>
    </w:p>
    <w:p w14:paraId="22490B64" w14:textId="77777777" w:rsidR="00C25B3B" w:rsidRDefault="00C25B3B" w:rsidP="00C25B3B">
      <w:pPr>
        <w:pStyle w:val="ListParagraph"/>
        <w:numPr>
          <w:ilvl w:val="0"/>
          <w:numId w:val="1"/>
        </w:numPr>
        <w:rPr>
          <w:lang w:val="fr-FR"/>
        </w:rPr>
      </w:pPr>
      <w:r>
        <w:rPr>
          <w:lang w:val="fr-FR"/>
        </w:rPr>
        <w:t xml:space="preserve">Pourquoi expanding et pas rolling window </w:t>
      </w:r>
    </w:p>
    <w:p w14:paraId="77C99CEB" w14:textId="0157D9BE" w:rsidR="00AF44F3" w:rsidRPr="00C25B3B" w:rsidRDefault="00C25B3B" w:rsidP="00C25B3B">
      <w:pPr>
        <w:pStyle w:val="ListParagraph"/>
        <w:numPr>
          <w:ilvl w:val="0"/>
          <w:numId w:val="1"/>
        </w:numPr>
        <w:rPr>
          <w:lang w:val="fr-FR"/>
        </w:rPr>
      </w:pPr>
      <w:r>
        <w:rPr>
          <w:lang w:val="fr-FR"/>
        </w:rPr>
        <w:t xml:space="preserve"> </w:t>
      </w:r>
    </w:p>
    <w:p w14:paraId="4FADFF00" w14:textId="0660C5B0" w:rsidR="00AF44F3" w:rsidRDefault="00AF44F3" w:rsidP="00AF44F3">
      <w:pPr>
        <w:rPr>
          <w:lang w:val="fr-FR"/>
        </w:rPr>
      </w:pPr>
    </w:p>
    <w:p w14:paraId="56210432" w14:textId="0DD4253B" w:rsidR="00AF44F3" w:rsidRDefault="00AF44F3" w:rsidP="00AF44F3">
      <w:pPr>
        <w:rPr>
          <w:lang w:val="fr-FR"/>
        </w:rPr>
      </w:pPr>
      <w:r>
        <w:rPr>
          <w:lang w:val="fr-FR"/>
        </w:rPr>
        <w:t>Modèles</w:t>
      </w:r>
    </w:p>
    <w:p w14:paraId="3B861E20" w14:textId="48D74747" w:rsidR="00AF44F3" w:rsidRDefault="00AF44F3" w:rsidP="00AF44F3">
      <w:pPr>
        <w:rPr>
          <w:lang w:val="fr-FR"/>
        </w:rPr>
      </w:pPr>
      <w:r>
        <w:rPr>
          <w:lang w:val="fr-FR"/>
        </w:rPr>
        <w:t xml:space="preserve">GJR-Garch </w:t>
      </w:r>
    </w:p>
    <w:p w14:paraId="0A5F4D00" w14:textId="0519A390" w:rsidR="00AF44F3" w:rsidRDefault="00AF44F3" w:rsidP="00AF44F3">
      <w:pPr>
        <w:rPr>
          <w:lang w:val="fr-FR"/>
        </w:rPr>
      </w:pPr>
      <w:r w:rsidRPr="00AF44F3">
        <w:rPr>
          <w:noProof/>
          <w:lang w:val="fr-FR"/>
        </w:rPr>
        <w:lastRenderedPageBreak/>
        <w:drawing>
          <wp:inline distT="0" distB="0" distL="0" distR="0" wp14:anchorId="43A48562" wp14:editId="55DCDBDD">
            <wp:extent cx="5731510" cy="1962785"/>
            <wp:effectExtent l="0" t="0" r="2540" b="0"/>
            <wp:docPr id="143423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35200" name=""/>
                    <pic:cNvPicPr/>
                  </pic:nvPicPr>
                  <pic:blipFill>
                    <a:blip r:embed="rId5"/>
                    <a:stretch>
                      <a:fillRect/>
                    </a:stretch>
                  </pic:blipFill>
                  <pic:spPr>
                    <a:xfrm>
                      <a:off x="0" y="0"/>
                      <a:ext cx="5731510" cy="1962785"/>
                    </a:xfrm>
                    <a:prstGeom prst="rect">
                      <a:avLst/>
                    </a:prstGeom>
                  </pic:spPr>
                </pic:pic>
              </a:graphicData>
            </a:graphic>
          </wp:inline>
        </w:drawing>
      </w:r>
    </w:p>
    <w:p w14:paraId="45174D65" w14:textId="77777777" w:rsidR="00AF44F3" w:rsidRDefault="00AF44F3" w:rsidP="00AF44F3">
      <w:pPr>
        <w:rPr>
          <w:sz w:val="16"/>
          <w:szCs w:val="16"/>
          <w:lang w:val="fr-FR"/>
        </w:rPr>
      </w:pPr>
      <w:r w:rsidRPr="00AF44F3">
        <w:rPr>
          <w:sz w:val="16"/>
          <w:szCs w:val="16"/>
          <w:lang w:val="fr-FR"/>
        </w:rPr>
        <w:t xml:space="preserve">Drost &amp; Nijman (1993) montrent que si vous preniez ces 21 rendements journaliers, les agrégiez en un seul rendement mensuel, et estimiez un GARCH directement sur ce rendement mensuel, vous obtiendriez </w:t>
      </w:r>
      <w:r w:rsidRPr="00AF44F3">
        <w:rPr>
          <w:b/>
          <w:bCs/>
          <w:sz w:val="16"/>
          <w:szCs w:val="16"/>
          <w:lang w:val="fr-FR"/>
        </w:rPr>
        <w:t>des paramètres différents</w:t>
      </w:r>
      <w:r w:rsidRPr="00AF44F3">
        <w:rPr>
          <w:sz w:val="16"/>
          <w:szCs w:val="16"/>
          <w:lang w:val="fr-FR"/>
        </w:rPr>
        <w:t xml:space="preserve">. En particulier, </w:t>
      </w:r>
      <m:oMath>
        <m:sSub>
          <m:sSubPr>
            <m:ctrlPr>
              <w:rPr>
                <w:rFonts w:ascii="Cambria Math" w:hAnsi="Cambria Math"/>
                <w:sz w:val="16"/>
                <w:szCs w:val="16"/>
              </w:rPr>
            </m:ctrlPr>
          </m:sSubPr>
          <m:e>
            <m:r>
              <w:rPr>
                <w:rFonts w:ascii="Cambria Math" w:hAnsi="Cambria Math"/>
                <w:sz w:val="16"/>
                <w:szCs w:val="16"/>
              </w:rPr>
              <m:t>α</m:t>
            </m:r>
          </m:e>
          <m:sub>
            <m:r>
              <m:rPr>
                <m:nor/>
              </m:rPr>
              <w:rPr>
                <w:sz w:val="16"/>
                <w:szCs w:val="16"/>
                <w:lang w:val="fr-FR"/>
              </w:rPr>
              <m:t>mensuel</m:t>
            </m:r>
          </m:sub>
        </m:sSub>
      </m:oMath>
      <w:r w:rsidRPr="00AF44F3">
        <w:rPr>
          <w:sz w:val="16"/>
          <w:szCs w:val="16"/>
          <w:lang w:val="fr-FR"/>
        </w:rPr>
        <w:t xml:space="preserve">serait plus faible et </w:t>
      </w:r>
      <m:oMath>
        <m:sSub>
          <m:sSubPr>
            <m:ctrlPr>
              <w:rPr>
                <w:rFonts w:ascii="Cambria Math" w:hAnsi="Cambria Math"/>
                <w:sz w:val="16"/>
                <w:szCs w:val="16"/>
              </w:rPr>
            </m:ctrlPr>
          </m:sSubPr>
          <m:e>
            <m:r>
              <w:rPr>
                <w:rFonts w:ascii="Cambria Math" w:hAnsi="Cambria Math"/>
                <w:sz w:val="16"/>
                <w:szCs w:val="16"/>
              </w:rPr>
              <m:t>β</m:t>
            </m:r>
          </m:e>
          <m:sub>
            <m:r>
              <m:rPr>
                <m:nor/>
              </m:rPr>
              <w:rPr>
                <w:sz w:val="16"/>
                <w:szCs w:val="16"/>
                <w:lang w:val="fr-FR"/>
              </w:rPr>
              <m:t>mensuel</m:t>
            </m:r>
          </m:sub>
        </m:sSub>
      </m:oMath>
      <w:r w:rsidRPr="00AF44F3">
        <w:rPr>
          <w:sz w:val="16"/>
          <w:szCs w:val="16"/>
          <w:lang w:val="fr-FR"/>
        </w:rPr>
        <w:t xml:space="preserve">plus élevé que leurs homologues journaliers — la variance réagit moins vite aux chocs mensuels qu'aux chocs quotidiens, mais persiste plus longtemps. La persistance totale </w:t>
      </w:r>
      <m:oMath>
        <m:r>
          <w:rPr>
            <w:rFonts w:ascii="Cambria Math" w:hAnsi="Cambria Math"/>
            <w:sz w:val="16"/>
            <w:szCs w:val="16"/>
          </w:rPr>
          <m:t>α</m:t>
        </m:r>
        <m:r>
          <w:rPr>
            <w:rFonts w:ascii="Cambria Math" w:hAnsi="Cambria Math"/>
            <w:sz w:val="16"/>
            <w:szCs w:val="16"/>
            <w:lang w:val="fr-FR"/>
          </w:rPr>
          <m:t>+</m:t>
        </m:r>
        <m:r>
          <w:rPr>
            <w:rFonts w:ascii="Cambria Math" w:hAnsi="Cambria Math"/>
            <w:sz w:val="16"/>
            <w:szCs w:val="16"/>
          </w:rPr>
          <m:t>β</m:t>
        </m:r>
      </m:oMath>
      <w:r w:rsidRPr="00AF44F3">
        <w:rPr>
          <w:sz w:val="16"/>
          <w:szCs w:val="16"/>
          <w:lang w:val="fr-FR"/>
        </w:rPr>
        <w:t>est préservée par l'agrégation, pas les paramètres individuels.</w:t>
      </w:r>
      <w:r>
        <w:rPr>
          <w:sz w:val="16"/>
          <w:szCs w:val="16"/>
          <w:lang w:val="fr-FR"/>
        </w:rPr>
        <w:t xml:space="preserve"> </w:t>
      </w:r>
    </w:p>
    <w:p w14:paraId="2E7CFC54" w14:textId="59EF1C23" w:rsidR="00AF44F3" w:rsidRPr="00AF44F3" w:rsidRDefault="00AF44F3" w:rsidP="00AF44F3">
      <w:pPr>
        <w:rPr>
          <w:sz w:val="16"/>
          <w:szCs w:val="16"/>
          <w:lang w:val="fr-FR"/>
        </w:rPr>
      </w:pPr>
      <w:r w:rsidRPr="00AF44F3">
        <w:rPr>
          <w:sz w:val="16"/>
          <w:szCs w:val="16"/>
          <w:lang w:val="fr-FR"/>
        </w:rPr>
        <w:t>En itérant les paramètres journaliers 21 fois, vous supposez implicitement que la bonne description de la dynamique mensuelle s'obtient en enchaînant 21 fois la dynamique quotidienne. C'est vrai exactement dans un monde Strong GARCH — c'est une approximation dans le monde réel où les innovations ne sont pas strictement iid.</w:t>
      </w:r>
    </w:p>
    <w:sectPr w:rsidR="00AF44F3" w:rsidRPr="00AF44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E1C72"/>
    <w:multiLevelType w:val="hybridMultilevel"/>
    <w:tmpl w:val="69045B5C"/>
    <w:lvl w:ilvl="0" w:tplc="F584538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5711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9D9"/>
    <w:rsid w:val="00197CD9"/>
    <w:rsid w:val="00212EF0"/>
    <w:rsid w:val="00394CE8"/>
    <w:rsid w:val="004A138B"/>
    <w:rsid w:val="004C622E"/>
    <w:rsid w:val="00562A6D"/>
    <w:rsid w:val="006657AA"/>
    <w:rsid w:val="006C311B"/>
    <w:rsid w:val="00725D6B"/>
    <w:rsid w:val="008419D9"/>
    <w:rsid w:val="008B0200"/>
    <w:rsid w:val="009228B8"/>
    <w:rsid w:val="00AF44F3"/>
    <w:rsid w:val="00B05072"/>
    <w:rsid w:val="00B83F04"/>
    <w:rsid w:val="00C25B3B"/>
    <w:rsid w:val="00C9500C"/>
    <w:rsid w:val="00E20774"/>
    <w:rsid w:val="00E5428A"/>
    <w:rsid w:val="00E77CFE"/>
    <w:rsid w:val="00E870C9"/>
    <w:rsid w:val="00F03BF3"/>
    <w:rsid w:val="00F973A8"/>
    <w:rsid w:val="00FE44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9D848"/>
  <w15:chartTrackingRefBased/>
  <w15:docId w15:val="{6102D4DD-62CB-4CEA-8AF8-0CEB41B4A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9D9"/>
    <w:rPr>
      <w:rFonts w:eastAsiaTheme="majorEastAsia" w:cstheme="majorBidi"/>
      <w:color w:val="272727" w:themeColor="text1" w:themeTint="D8"/>
    </w:rPr>
  </w:style>
  <w:style w:type="paragraph" w:styleId="Title">
    <w:name w:val="Title"/>
    <w:basedOn w:val="Normal"/>
    <w:next w:val="Normal"/>
    <w:link w:val="TitleChar"/>
    <w:uiPriority w:val="10"/>
    <w:qFormat/>
    <w:rsid w:val="00841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9D9"/>
    <w:pPr>
      <w:spacing w:before="160"/>
      <w:jc w:val="center"/>
    </w:pPr>
    <w:rPr>
      <w:i/>
      <w:iCs/>
      <w:color w:val="404040" w:themeColor="text1" w:themeTint="BF"/>
    </w:rPr>
  </w:style>
  <w:style w:type="character" w:customStyle="1" w:styleId="QuoteChar">
    <w:name w:val="Quote Char"/>
    <w:basedOn w:val="DefaultParagraphFont"/>
    <w:link w:val="Quote"/>
    <w:uiPriority w:val="29"/>
    <w:rsid w:val="008419D9"/>
    <w:rPr>
      <w:i/>
      <w:iCs/>
      <w:color w:val="404040" w:themeColor="text1" w:themeTint="BF"/>
    </w:rPr>
  </w:style>
  <w:style w:type="paragraph" w:styleId="ListParagraph">
    <w:name w:val="List Paragraph"/>
    <w:basedOn w:val="Normal"/>
    <w:uiPriority w:val="34"/>
    <w:qFormat/>
    <w:rsid w:val="008419D9"/>
    <w:pPr>
      <w:ind w:left="720"/>
      <w:contextualSpacing/>
    </w:pPr>
  </w:style>
  <w:style w:type="character" w:styleId="IntenseEmphasis">
    <w:name w:val="Intense Emphasis"/>
    <w:basedOn w:val="DefaultParagraphFont"/>
    <w:uiPriority w:val="21"/>
    <w:qFormat/>
    <w:rsid w:val="008419D9"/>
    <w:rPr>
      <w:i/>
      <w:iCs/>
      <w:color w:val="0F4761" w:themeColor="accent1" w:themeShade="BF"/>
    </w:rPr>
  </w:style>
  <w:style w:type="paragraph" w:styleId="IntenseQuote">
    <w:name w:val="Intense Quote"/>
    <w:basedOn w:val="Normal"/>
    <w:next w:val="Normal"/>
    <w:link w:val="IntenseQuoteChar"/>
    <w:uiPriority w:val="30"/>
    <w:qFormat/>
    <w:rsid w:val="00841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9D9"/>
    <w:rPr>
      <w:i/>
      <w:iCs/>
      <w:color w:val="0F4761" w:themeColor="accent1" w:themeShade="BF"/>
    </w:rPr>
  </w:style>
  <w:style w:type="character" w:styleId="IntenseReference">
    <w:name w:val="Intense Reference"/>
    <w:basedOn w:val="DefaultParagraphFont"/>
    <w:uiPriority w:val="32"/>
    <w:qFormat/>
    <w:rsid w:val="008419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Laumonier</dc:creator>
  <cp:keywords/>
  <dc:description/>
  <cp:lastModifiedBy>Thomas Laumonier</cp:lastModifiedBy>
  <cp:revision>17</cp:revision>
  <dcterms:created xsi:type="dcterms:W3CDTF">2026-05-18T22:00:00Z</dcterms:created>
  <dcterms:modified xsi:type="dcterms:W3CDTF">2026-05-19T10:34:00Z</dcterms:modified>
</cp:coreProperties>
</file>