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SolidWorks 导入验证指南</w:t>
      </w:r>
    </w:p>
    <w:p>
      <w:pPr>
        <w:jc w:val="center"/>
      </w:pPr>
      <w:r>
        <w:rPr>
          <w:color w:val="646464"/>
          <w:sz w:val="28"/>
        </w:rPr>
        <w:t>AI CAD 参数化设计平台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文档版本</w:t>
            </w:r>
          </w:p>
        </w:tc>
        <w:tc>
          <w:tcPr>
            <w:tcW w:type="dxa" w:w="4320"/>
          </w:tcPr>
          <w:p>
            <w:r>
              <w:t>v1.0</w:t>
            </w:r>
          </w:p>
        </w:tc>
      </w:tr>
      <w:tr>
        <w:tc>
          <w:tcPr>
            <w:tcW w:type="dxa" w:w="4320"/>
          </w:tcPr>
          <w:p>
            <w:r>
              <w:t>发布日期</w:t>
            </w:r>
          </w:p>
        </w:tc>
        <w:tc>
          <w:tcPr>
            <w:tcW w:type="dxa" w:w="4320"/>
          </w:tcPr>
          <w:p>
            <w:r>
              <w:t>2026 年 8 月</w:t>
            </w:r>
          </w:p>
        </w:tc>
      </w:tr>
      <w:tr>
        <w:tc>
          <w:tcPr>
            <w:tcW w:type="dxa" w:w="4320"/>
          </w:tcPr>
          <w:p>
            <w:r>
              <w:t>适用平台</w:t>
            </w:r>
          </w:p>
        </w:tc>
        <w:tc>
          <w:tcPr>
            <w:tcW w:type="dxa" w:w="4320"/>
          </w:tcPr>
          <w:p>
            <w:r>
              <w:t>AI CAD Studio v0.4.0</w:t>
            </w:r>
          </w:p>
        </w:tc>
      </w:tr>
      <w:tr>
        <w:tc>
          <w:tcPr>
            <w:tcW w:type="dxa" w:w="4320"/>
          </w:tcPr>
          <w:p>
            <w:r>
              <w:t>适用格式</w:t>
            </w:r>
          </w:p>
        </w:tc>
        <w:tc>
          <w:tcPr>
            <w:tcW w:type="dxa" w:w="4320"/>
          </w:tcPr>
          <w:p>
            <w:r>
              <w:t>STEP (.step/.stp)</w:t>
            </w:r>
          </w:p>
        </w:tc>
      </w:tr>
    </w:tbl>
    <w:p>
      <w:r>
        <w:br w:type="page"/>
      </w:r>
    </w:p>
    <w:p>
      <w:pPr>
        <w:pStyle w:val="Heading1"/>
      </w:pPr>
      <w:r>
        <w:t>目录</w:t>
      </w:r>
    </w:p>
    <w:p>
      <w:pPr>
        <w:pStyle w:val="ListNumber"/>
      </w:pPr>
      <w:r>
        <w:t>一、概述</w:t>
      </w:r>
    </w:p>
    <w:p>
      <w:pPr>
        <w:pStyle w:val="ListNumber"/>
      </w:pPr>
      <w:r>
        <w:t>二、导入前准备</w:t>
      </w:r>
    </w:p>
    <w:p>
      <w:pPr>
        <w:pStyle w:val="ListNumber"/>
      </w:pPr>
      <w:r>
        <w:t>三、导入步骤详解</w:t>
      </w:r>
    </w:p>
    <w:p>
      <w:pPr>
        <w:pStyle w:val="ListNumber"/>
      </w:pPr>
      <w:r>
        <w:t>四、导入后验证</w:t>
      </w:r>
    </w:p>
    <w:p>
      <w:pPr>
        <w:pStyle w:val="ListNumber"/>
      </w:pPr>
      <w:r>
        <w:t>五、常见问题与解决方案</w:t>
      </w:r>
    </w:p>
    <w:p>
      <w:pPr>
        <w:pStyle w:val="ListNumber"/>
      </w:pPr>
      <w:r>
        <w:t>六、工程分析指南</w:t>
      </w:r>
    </w:p>
    <w:p>
      <w:pPr>
        <w:pStyle w:val="ListNumber"/>
      </w:pPr>
      <w:r>
        <w:t>七、技术支持</w:t>
      </w:r>
    </w:p>
    <w:p>
      <w:r>
        <w:br w:type="page"/>
      </w:r>
    </w:p>
    <w:p>
      <w:pPr>
        <w:pStyle w:val="Heading1"/>
      </w:pPr>
      <w:r>
        <w:t>一、概述</w:t>
      </w:r>
    </w:p>
    <w:p>
      <w:r>
        <w:t>本指南旨在帮助用户将 AI CAD 参数化设计平台生成的 STEP 文件成功导入 SolidWorks，并进行有效的验证和工程分析。平台生成的 STEP 文件符合 ISO 10303 国际标准，包含完整的 B-rep 实体几何信息，可直接用于 SolidWorks 的各项功能。</w:t>
      </w:r>
    </w:p>
    <w:p>
      <w:pPr>
        <w:pStyle w:val="Heading2"/>
      </w:pPr>
      <w:r>
        <w:t>1.1 STEP 文件特点</w:t>
      </w:r>
    </w:p>
    <w:p>
      <w:r>
        <w:rPr>
          <w:b/>
        </w:rPr>
        <w:t>• 精确几何定义：</w:t>
      </w:r>
      <w:r>
        <w:t>基于数学公式的 B-rep 实体，精度达 0.01mm 级别</w:t>
      </w:r>
    </w:p>
    <w:p>
      <w:r>
        <w:rPr>
          <w:b/>
        </w:rPr>
        <w:t>• 国际标准格式：</w:t>
      </w:r>
      <w:r>
        <w:t>ISO 10303，兼容所有主流 CAD 软件</w:t>
      </w:r>
    </w:p>
    <w:p>
      <w:r>
        <w:rPr>
          <w:b/>
        </w:rPr>
        <w:t>• 完整拓扑信息：</w:t>
      </w:r>
      <w:r>
        <w:t>包含面、边、顶点及相互关系</w:t>
      </w:r>
    </w:p>
    <w:p>
      <w:r>
        <w:rPr>
          <w:b/>
        </w:rPr>
        <w:t>• 参数化历史：</w:t>
      </w:r>
      <w:r>
        <w:t>保留设计意图，可编辑修改</w:t>
      </w:r>
    </w:p>
    <w:p>
      <w:pPr>
        <w:pStyle w:val="Heading2"/>
      </w:pPr>
      <w:r>
        <w:t>1.2 适用 SolidWorks 版本</w:t>
      </w:r>
    </w:p>
    <w:p>
      <w:r>
        <w:t>本指南适用于以下 SolidWorks 版本：</w:t>
      </w:r>
    </w:p>
    <w:p>
      <w:pPr>
        <w:pStyle w:val="ListBullet"/>
      </w:pPr>
      <w:r>
        <w:t>SolidWorks 2018 及以上版本</w:t>
      </w:r>
    </w:p>
    <w:p>
      <w:pPr>
        <w:pStyle w:val="ListBullet"/>
      </w:pPr>
      <w:r>
        <w:t>SolidWorks Professional</w:t>
      </w:r>
    </w:p>
    <w:p>
      <w:pPr>
        <w:pStyle w:val="ListBullet"/>
      </w:pPr>
      <w:r>
        <w:t>SolidWorks Premium</w:t>
      </w:r>
    </w:p>
    <w:p>
      <w:r>
        <w:br w:type="page"/>
      </w:r>
    </w:p>
    <w:p>
      <w:pPr>
        <w:pStyle w:val="Heading1"/>
      </w:pPr>
      <w:r>
        <w:t>二、导入前准备</w:t>
      </w:r>
    </w:p>
    <w:p>
      <w:pPr>
        <w:pStyle w:val="Heading2"/>
      </w:pPr>
      <w:r>
        <w:t>2.1 文件检查</w:t>
      </w:r>
    </w:p>
    <w:p>
      <w:r>
        <w:t>在导入前，请确认以下事项：</w:t>
      </w:r>
    </w:p>
    <w:p>
      <w:pPr>
        <w:pStyle w:val="ListBullet"/>
      </w:pPr>
      <w:r>
        <w:t>STEP 文件已完整下载（通常 500KB-2MB）</w:t>
      </w:r>
    </w:p>
    <w:p>
      <w:pPr>
        <w:pStyle w:val="ListBullet"/>
      </w:pPr>
      <w:r>
        <w:t>文件扩展名为 .step 或 .stp</w:t>
      </w:r>
    </w:p>
    <w:p>
      <w:pPr>
        <w:pStyle w:val="ListBullet"/>
      </w:pPr>
      <w:r>
        <w:t>文件未损坏（可尝试用文本编辑器打开，应包含 "ISO-10303-21" 标识）</w:t>
      </w:r>
    </w:p>
    <w:p>
      <w:pPr>
        <w:pStyle w:val="ListBullet"/>
      </w:pPr>
      <w:r>
        <w:t>SolidWorks 已正确安装并激活</w:t>
      </w:r>
    </w:p>
    <w:p>
      <w:pPr>
        <w:pStyle w:val="Heading2"/>
      </w:pPr>
      <w:r>
        <w:t>2.2 系统要求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操作系统</w:t>
            </w:r>
          </w:p>
        </w:tc>
        <w:tc>
          <w:tcPr>
            <w:tcW w:type="dxa" w:w="4320"/>
          </w:tcPr>
          <w:p>
            <w:r>
              <w:t>Windows 10/11 64 位</w:t>
            </w:r>
          </w:p>
        </w:tc>
      </w:tr>
      <w:tr>
        <w:tc>
          <w:tcPr>
            <w:tcW w:type="dxa" w:w="4320"/>
          </w:tcPr>
          <w:p>
            <w:r>
              <w:t>内存</w:t>
            </w:r>
          </w:p>
        </w:tc>
        <w:tc>
          <w:tcPr>
            <w:tcW w:type="dxa" w:w="4320"/>
          </w:tcPr>
          <w:p>
            <w:r>
              <w:t>≥ 8GB（推荐 16GB）</w:t>
            </w:r>
          </w:p>
        </w:tc>
      </w:tr>
      <w:tr>
        <w:tc>
          <w:tcPr>
            <w:tcW w:type="dxa" w:w="4320"/>
          </w:tcPr>
          <w:p>
            <w:r>
              <w:t>硬盘空间</w:t>
            </w:r>
          </w:p>
        </w:tc>
        <w:tc>
          <w:tcPr>
            <w:tcW w:type="dxa" w:w="4320"/>
          </w:tcPr>
          <w:p>
            <w:r>
              <w:t>≥ 10GB 可用空间</w:t>
            </w:r>
          </w:p>
        </w:tc>
      </w:tr>
      <w:tr>
        <w:tc>
          <w:tcPr>
            <w:tcW w:type="dxa" w:w="4320"/>
          </w:tcPr>
          <w:p>
            <w:r>
              <w:t>显卡</w:t>
            </w:r>
          </w:p>
        </w:tc>
        <w:tc>
          <w:tcPr>
            <w:tcW w:type="dxa" w:w="4320"/>
          </w:tcPr>
          <w:p>
            <w:r>
              <w:t>支持 OpenGL 3.3 及以上</w:t>
            </w:r>
          </w:p>
        </w:tc>
      </w:tr>
      <w:tr>
        <w:tc>
          <w:tcPr>
            <w:tcW w:type="dxa" w:w="4320"/>
          </w:tcPr>
          <w:p>
            <w:r>
              <w:t>SolidWorks 版本</w:t>
            </w:r>
          </w:p>
        </w:tc>
        <w:tc>
          <w:tcPr>
            <w:tcW w:type="dxa" w:w="4320"/>
          </w:tcPr>
          <w:p>
            <w:r>
              <w:t>2018 及以上</w:t>
            </w:r>
          </w:p>
        </w:tc>
      </w:tr>
    </w:tbl>
    <w:p>
      <w:r>
        <w:br w:type="page"/>
      </w:r>
    </w:p>
    <w:p>
      <w:pPr>
        <w:pStyle w:val="Heading1"/>
      </w:pPr>
      <w:r>
        <w:t>三、导入步骤详解</w:t>
      </w:r>
    </w:p>
    <w:p>
      <w:pPr>
        <w:pStyle w:val="Heading2"/>
      </w:pPr>
      <w:r>
        <w:t>3.1 启动导入</w:t>
      </w:r>
    </w:p>
    <w:p>
      <w:r>
        <w:t>按以下步骤操作：</w:t>
      </w:r>
    </w:p>
    <w:p>
      <w:r>
        <w:rPr>
          <w:b/>
        </w:rPr>
        <w:t>步骤 1：打开 SolidWorks</w:t>
      </w:r>
    </w:p>
    <w:p>
      <w:r>
        <w:t>启动 SolidWorks 应用程序</w:t>
      </w:r>
    </w:p>
    <w:p>
      <w:r>
        <w:rPr>
          <w:b/>
        </w:rPr>
        <w:t>步骤 2：新建或打开文档</w:t>
      </w:r>
    </w:p>
    <w:p>
      <w:r>
        <w:t>选择"文件" → "新建"，或打开现有装配体</w:t>
      </w:r>
    </w:p>
    <w:p>
      <w:r>
        <w:rPr>
          <w:b/>
        </w:rPr>
        <w:t>步骤 3：导入 STEP 文件</w:t>
      </w:r>
    </w:p>
    <w:p>
      <w:r>
        <w:t>选择"文件" → "打开"，文件类型选择"STEP (*.step; *.stp)"</w:t>
      </w:r>
    </w:p>
    <w:p>
      <w:r>
        <w:rPr>
          <w:b/>
        </w:rPr>
        <w:t>步骤 4：选择文件</w:t>
      </w:r>
    </w:p>
    <w:p>
      <w:r>
        <w:t>浏览并选择下载的 STEP 文件，点击"打开"</w:t>
      </w:r>
    </w:p>
    <w:p>
      <w:r>
        <w:rPr>
          <w:b/>
        </w:rPr>
        <w:t>步骤 5：配置导入选项</w:t>
      </w:r>
    </w:p>
    <w:p>
      <w:r>
        <w:t>在导入对话框中设置参数（见 3.2 节）</w:t>
      </w:r>
    </w:p>
    <w:p>
      <w:r>
        <w:rPr>
          <w:b/>
        </w:rPr>
        <w:t>步骤 6：开始导入</w:t>
      </w:r>
    </w:p>
    <w:p>
      <w:r>
        <w:t>点击"确定"，等待导入完成</w:t>
      </w:r>
    </w:p>
    <w:p>
      <w:pPr>
        <w:pStyle w:val="Heading2"/>
      </w:pPr>
      <w:r>
        <w:t>3.2 导入选项配置</w:t>
      </w:r>
    </w:p>
    <w:p>
      <w:r>
        <w:t>导入对话框中的关键选项：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选项</w:t>
            </w:r>
          </w:p>
        </w:tc>
        <w:tc>
          <w:tcPr>
            <w:tcW w:type="dxa" w:w="2880"/>
          </w:tcPr>
          <w:p>
            <w:r>
              <w:t>推荐设置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输入为</w:t>
            </w:r>
          </w:p>
        </w:tc>
        <w:tc>
          <w:tcPr>
            <w:tcW w:type="dxa" w:w="2880"/>
          </w:tcPr>
          <w:p>
            <w:r>
              <w:t>实体</w:t>
            </w:r>
          </w:p>
        </w:tc>
        <w:tc>
          <w:tcPr>
            <w:tcW w:type="dxa" w:w="2880"/>
          </w:tcPr>
          <w:p>
            <w:r>
              <w:t>确保生成实体而非曲面</w:t>
            </w:r>
          </w:p>
        </w:tc>
      </w:tr>
      <w:tr>
        <w:tc>
          <w:tcPr>
            <w:tcW w:type="dxa" w:w="2880"/>
          </w:tcPr>
          <w:p>
            <w:r>
              <w:t>尝试形成实体</w:t>
            </w:r>
          </w:p>
        </w:tc>
        <w:tc>
          <w:tcPr>
            <w:tcW w:type="dxa" w:w="2880"/>
          </w:tcPr>
          <w:p>
            <w:r>
              <w:t>✓ 勾选</w:t>
            </w:r>
          </w:p>
        </w:tc>
        <w:tc>
          <w:tcPr>
            <w:tcW w:type="dxa" w:w="2880"/>
          </w:tcPr>
          <w:p>
            <w:r>
              <w:t>自动修复小间隙</w:t>
            </w:r>
          </w:p>
        </w:tc>
      </w:tr>
      <w:tr>
        <w:tc>
          <w:tcPr>
            <w:tcW w:type="dxa" w:w="2880"/>
          </w:tcPr>
          <w:p>
            <w:r>
              <w:t>运行输入诊断</w:t>
            </w:r>
          </w:p>
        </w:tc>
        <w:tc>
          <w:tcPr>
            <w:tcW w:type="dxa" w:w="2880"/>
          </w:tcPr>
          <w:p>
            <w:r>
              <w:t>✓ 勾选</w:t>
            </w:r>
          </w:p>
        </w:tc>
        <w:tc>
          <w:tcPr>
            <w:tcW w:type="dxa" w:w="2880"/>
          </w:tcPr>
          <w:p>
            <w:r>
              <w:t>检查并报告问题</w:t>
            </w:r>
          </w:p>
        </w:tc>
      </w:tr>
      <w:tr>
        <w:tc>
          <w:tcPr>
            <w:tcW w:type="dxa" w:w="2880"/>
          </w:tcPr>
          <w:p>
            <w:r>
              <w:t>简化曲面</w:t>
            </w:r>
          </w:p>
        </w:tc>
        <w:tc>
          <w:tcPr>
            <w:tcW w:type="dxa" w:w="2880"/>
          </w:tcPr>
          <w:p>
            <w:r>
              <w:t>□ 不勾选</w:t>
            </w:r>
          </w:p>
        </w:tc>
        <w:tc>
          <w:tcPr>
            <w:tcW w:type="dxa" w:w="2880"/>
          </w:tcPr>
          <w:p>
            <w:r>
              <w:t>保留完整几何</w:t>
            </w:r>
          </w:p>
        </w:tc>
      </w:tr>
      <w:tr>
        <w:tc>
          <w:tcPr>
            <w:tcW w:type="dxa" w:w="2880"/>
          </w:tcPr>
          <w:p>
            <w:r>
              <w:t>单位</w:t>
            </w:r>
          </w:p>
        </w:tc>
        <w:tc>
          <w:tcPr>
            <w:tcW w:type="dxa" w:w="2880"/>
          </w:tcPr>
          <w:p>
            <w:r>
              <w:t>毫米</w:t>
            </w:r>
          </w:p>
        </w:tc>
        <w:tc>
          <w:tcPr>
            <w:tcW w:type="dxa" w:w="2880"/>
          </w:tcPr>
          <w:p>
            <w:r>
              <w:t>与平台输出一致</w:t>
            </w:r>
          </w:p>
        </w:tc>
      </w:tr>
    </w:tbl>
    <w:p>
      <w:r>
        <w:br w:type="page"/>
      </w:r>
    </w:p>
    <w:p>
      <w:pPr>
        <w:pStyle w:val="Heading1"/>
      </w:pPr>
      <w:r>
        <w:t>四、导入后验证</w:t>
      </w:r>
    </w:p>
    <w:p>
      <w:pPr>
        <w:pStyle w:val="Heading2"/>
      </w:pPr>
      <w:r>
        <w:t>4.1 基本检查</w:t>
      </w:r>
    </w:p>
    <w:p>
      <w:r>
        <w:t>导入完成后，进行以下检查：</w:t>
      </w:r>
    </w:p>
    <w:p>
      <w:r>
        <w:rPr>
          <w:b/>
        </w:rPr>
        <w:t>✓ 实体完整性：</w:t>
      </w:r>
      <w:r>
        <w:t>在特征树中查看是否显示为"实体"而非"曲面"或"网格"</w:t>
      </w:r>
    </w:p>
    <w:p>
      <w:r>
        <w:rPr>
          <w:b/>
        </w:rPr>
        <w:t>✓ 尺寸验证：</w:t>
      </w:r>
      <w:r>
        <w:t>使用"工具" → "评估" → "测量"检查关键尺寸</w:t>
      </w:r>
    </w:p>
    <w:p>
      <w:r>
        <w:rPr>
          <w:b/>
        </w:rPr>
        <w:t>✓ 外观检查：</w:t>
      </w:r>
      <w:r>
        <w:t>旋转模型查看是否有破面或缺失部分</w:t>
      </w:r>
    </w:p>
    <w:p>
      <w:r>
        <w:rPr>
          <w:b/>
        </w:rPr>
        <w:t>✓ 质量属性：</w:t>
      </w:r>
      <w:r>
        <w:t>使用"工具" → "评估" → "质量属性"查看重量、重心等</w:t>
      </w:r>
    </w:p>
    <w:p>
      <w:pPr>
        <w:pStyle w:val="Heading2"/>
      </w:pPr>
      <w:r>
        <w:t>4.2 验证清单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检查项</w:t>
            </w:r>
          </w:p>
        </w:tc>
        <w:tc>
          <w:tcPr>
            <w:tcW w:type="dxa" w:w="2880"/>
          </w:tcPr>
          <w:p>
            <w:r>
              <w:t>预期结果</w:t>
            </w:r>
          </w:p>
        </w:tc>
        <w:tc>
          <w:tcPr>
            <w:tcW w:type="dxa" w:w="2880"/>
          </w:tcPr>
          <w:p>
            <w:r>
              <w:t>状态</w:t>
            </w:r>
          </w:p>
        </w:tc>
      </w:tr>
      <w:tr>
        <w:tc>
          <w:tcPr>
            <w:tcW w:type="dxa" w:w="2880"/>
          </w:tcPr>
          <w:p>
            <w:r>
              <w:t>实体数量</w:t>
            </w:r>
          </w:p>
        </w:tc>
        <w:tc>
          <w:tcPr>
            <w:tcW w:type="dxa" w:w="2880"/>
          </w:tcPr>
          <w:p>
            <w:r>
              <w:t>1 个完整实体</w:t>
            </w:r>
          </w:p>
        </w:tc>
        <w:tc>
          <w:tcPr>
            <w:tcW w:type="dxa" w:w="2880"/>
          </w:tcPr>
          <w:p>
            <w:r>
              <w:t>□</w:t>
            </w:r>
          </w:p>
        </w:tc>
      </w:tr>
      <w:tr>
        <w:tc>
          <w:tcPr>
            <w:tcW w:type="dxa" w:w="2880"/>
          </w:tcPr>
          <w:p>
            <w:r>
              <w:t>面数</w:t>
            </w:r>
          </w:p>
        </w:tc>
        <w:tc>
          <w:tcPr>
            <w:tcW w:type="dxa" w:w="2880"/>
          </w:tcPr>
          <w:p>
            <w:r>
              <w:t>150-200 个面</w:t>
            </w:r>
          </w:p>
        </w:tc>
        <w:tc>
          <w:tcPr>
            <w:tcW w:type="dxa" w:w="2880"/>
          </w:tcPr>
          <w:p>
            <w:r>
              <w:t>□</w:t>
            </w:r>
          </w:p>
        </w:tc>
      </w:tr>
      <w:tr>
        <w:tc>
          <w:tcPr>
            <w:tcW w:type="dxa" w:w="2880"/>
          </w:tcPr>
          <w:p>
            <w:r>
              <w:t>边数</w:t>
            </w:r>
          </w:p>
        </w:tc>
        <w:tc>
          <w:tcPr>
            <w:tcW w:type="dxa" w:w="2880"/>
          </w:tcPr>
          <w:p>
            <w:r>
              <w:t>400-450 条边</w:t>
            </w:r>
          </w:p>
        </w:tc>
        <w:tc>
          <w:tcPr>
            <w:tcW w:type="dxa" w:w="2880"/>
          </w:tcPr>
          <w:p>
            <w:r>
              <w:t>□</w:t>
            </w:r>
          </w:p>
        </w:tc>
      </w:tr>
      <w:tr>
        <w:tc>
          <w:tcPr>
            <w:tcW w:type="dxa" w:w="2880"/>
          </w:tcPr>
          <w:p>
            <w:r>
              <w:t>顶点数</w:t>
            </w:r>
          </w:p>
        </w:tc>
        <w:tc>
          <w:tcPr>
            <w:tcW w:type="dxa" w:w="2880"/>
          </w:tcPr>
          <w:p>
            <w:r>
              <w:t>280-300 个顶点</w:t>
            </w:r>
          </w:p>
        </w:tc>
        <w:tc>
          <w:tcPr>
            <w:tcW w:type="dxa" w:w="2880"/>
          </w:tcPr>
          <w:p>
            <w:r>
              <w:t>□</w:t>
            </w:r>
          </w:p>
        </w:tc>
      </w:tr>
      <w:tr>
        <w:tc>
          <w:tcPr>
            <w:tcW w:type="dxa" w:w="2880"/>
          </w:tcPr>
          <w:p>
            <w:r>
              <w:t>闭合性</w:t>
            </w:r>
          </w:p>
        </w:tc>
        <w:tc>
          <w:tcPr>
            <w:tcW w:type="dxa" w:w="2880"/>
          </w:tcPr>
          <w:p>
            <w:r>
              <w:t>完全闭合，无破面</w:t>
            </w:r>
          </w:p>
        </w:tc>
        <w:tc>
          <w:tcPr>
            <w:tcW w:type="dxa" w:w="2880"/>
          </w:tcPr>
          <w:p>
            <w:r>
              <w:t>□</w:t>
            </w:r>
          </w:p>
        </w:tc>
      </w:tr>
      <w:tr>
        <w:tc>
          <w:tcPr>
            <w:tcW w:type="dxa" w:w="2880"/>
          </w:tcPr>
          <w:p>
            <w:r>
              <w:t>尺寸精度</w:t>
            </w:r>
          </w:p>
        </w:tc>
        <w:tc>
          <w:tcPr>
            <w:tcW w:type="dxa" w:w="2880"/>
          </w:tcPr>
          <w:p>
            <w:r>
              <w:t>与提示词描述一致</w:t>
            </w:r>
          </w:p>
        </w:tc>
        <w:tc>
          <w:tcPr>
            <w:tcW w:type="dxa" w:w="2880"/>
          </w:tcPr>
          <w:p>
            <w:r>
              <w:t>□</w:t>
            </w:r>
          </w:p>
        </w:tc>
      </w:tr>
      <w:tr>
        <w:tc>
          <w:tcPr>
            <w:tcW w:type="dxa" w:w="2880"/>
          </w:tcPr>
          <w:p>
            <w:r>
              <w:t>单位</w:t>
            </w:r>
          </w:p>
        </w:tc>
        <w:tc>
          <w:tcPr>
            <w:tcW w:type="dxa" w:w="2880"/>
          </w:tcPr>
          <w:p>
            <w:r>
              <w:t>毫米 (mm)</w:t>
            </w:r>
          </w:p>
        </w:tc>
        <w:tc>
          <w:tcPr>
            <w:tcW w:type="dxa" w:w="2880"/>
          </w:tcPr>
          <w:p>
            <w:r>
              <w:t>□</w:t>
            </w:r>
          </w:p>
        </w:tc>
      </w:tr>
    </w:tbl>
    <w:p>
      <w:r>
        <w:br w:type="page"/>
      </w:r>
    </w:p>
    <w:p>
      <w:pPr>
        <w:pStyle w:val="Heading1"/>
      </w:pPr>
      <w:r>
        <w:t>五、常见问题与解决方案</w:t>
      </w:r>
    </w:p>
    <w:p>
      <w:pPr>
        <w:pStyle w:val="Heading2"/>
      </w:pPr>
      <w:r>
        <w:t>5.1 导入失败</w:t>
      </w:r>
    </w:p>
    <w:p>
      <w:r>
        <w:rPr>
          <w:b/>
          <w:color w:val="C80000"/>
        </w:rPr>
        <w:t>问题：文件无法打开</w:t>
      </w:r>
    </w:p>
    <w:p>
      <w:r>
        <w:t>解决方案：检查文件是否完整下载，尝试重新下载</w:t>
      </w:r>
    </w:p>
    <w:p>
      <w:r>
        <w:rPr>
          <w:b/>
          <w:color w:val="C80000"/>
        </w:rPr>
        <w:t>问题：导入后显示为曲面</w:t>
      </w:r>
    </w:p>
    <w:p>
      <w:r>
        <w:t>解决方案：重新导入，勾选"尝试形成实体"选项</w:t>
      </w:r>
    </w:p>
    <w:p>
      <w:r>
        <w:rPr>
          <w:b/>
          <w:color w:val="C80000"/>
        </w:rPr>
        <w:t>问题：出现破面或错误</w:t>
      </w:r>
    </w:p>
    <w:p>
      <w:r>
        <w:t>解决方案：在导入选项中勾选"运行输入诊断"，按提示修复</w:t>
      </w:r>
    </w:p>
    <w:p>
      <w:r>
        <w:rPr>
          <w:b/>
          <w:color w:val="C80000"/>
        </w:rPr>
        <w:t>问题：尺寸不对</w:t>
      </w:r>
    </w:p>
    <w:p>
      <w:r>
        <w:t>解决方案：检查导入单位设置，确保选择"毫米"</w:t>
      </w:r>
    </w:p>
    <w:p>
      <w:r>
        <w:rPr>
          <w:b/>
          <w:color w:val="C80000"/>
        </w:rPr>
        <w:t>问题：导入速度慢</w:t>
      </w:r>
    </w:p>
    <w:p>
      <w:r>
        <w:t>解决方案：关闭其他应用程序，增加可用内存</w:t>
      </w:r>
    </w:p>
    <w:p>
      <w:pPr>
        <w:pStyle w:val="Heading2"/>
      </w:pPr>
      <w:r>
        <w:t>5.2 几何问题</w:t>
      </w:r>
    </w:p>
    <w:p>
      <w:r>
        <w:rPr>
          <w:b/>
        </w:rPr>
        <w:t>• 小间隙：</w:t>
      </w:r>
      <w:r>
        <w:t>使用"插入" → "面" → "修补"修复</w:t>
      </w:r>
    </w:p>
    <w:p>
      <w:r>
        <w:rPr>
          <w:b/>
        </w:rPr>
        <w:t>• 重叠面：</w:t>
      </w:r>
      <w:r>
        <w:t>使用"插入" → "面" → "删除"移除多余面</w:t>
      </w:r>
    </w:p>
    <w:p>
      <w:r>
        <w:rPr>
          <w:b/>
        </w:rPr>
        <w:t>• 自相交：</w:t>
      </w:r>
      <w:r>
        <w:t>使用"工具" → "检查"定位并修复</w:t>
      </w:r>
    </w:p>
    <w:p>
      <w:r>
        <w:br w:type="page"/>
      </w:r>
    </w:p>
    <w:p>
      <w:pPr>
        <w:pStyle w:val="Heading1"/>
      </w:pPr>
      <w:r>
        <w:t>六、工程分析指南</w:t>
      </w:r>
    </w:p>
    <w:p>
      <w:pPr>
        <w:pStyle w:val="Heading2"/>
      </w:pPr>
      <w:r>
        <w:t>6.1 干涉检测</w:t>
      </w:r>
    </w:p>
    <w:p>
      <w:r>
        <w:t>检查装配体中零件之间的干涉：</w:t>
      </w:r>
    </w:p>
    <w:p>
      <w:r>
        <w:t>1. 打开装配体文件</w:t>
      </w:r>
    </w:p>
    <w:p>
      <w:r>
        <w:t>2. 选择"评估" → "干涉检测"</w:t>
      </w:r>
    </w:p>
    <w:p>
      <w:r>
        <w:t>3. 选择要检查的零部件</w:t>
      </w:r>
    </w:p>
    <w:p>
      <w:r>
        <w:t>4. 点击"计算"</w:t>
      </w:r>
    </w:p>
    <w:p>
      <w:r>
        <w:t>5. 查看干涉结果，红色高亮显示干涉区域</w:t>
      </w:r>
    </w:p>
    <w:p>
      <w:pPr>
        <w:pStyle w:val="Heading2"/>
      </w:pPr>
      <w:r>
        <w:t>6.2 有限元分析 (FEA)</w:t>
      </w:r>
    </w:p>
    <w:p>
      <w:r>
        <w:t>进行应力和变形分析：</w:t>
      </w:r>
    </w:p>
    <w:p>
      <w:r>
        <w:t>1. 切换到"Simulation"插件</w:t>
      </w:r>
    </w:p>
    <w:p>
      <w:r>
        <w:t>2. 创建新算例</w:t>
      </w:r>
    </w:p>
    <w:p>
      <w:r>
        <w:t>3. 定义材料属性</w:t>
      </w:r>
    </w:p>
    <w:p>
      <w:r>
        <w:t>4. 施加约束和载荷</w:t>
      </w:r>
    </w:p>
    <w:p>
      <w:r>
        <w:t>5. 划分网格</w:t>
      </w:r>
    </w:p>
    <w:p>
      <w:r>
        <w:t>6. 运行分析</w:t>
      </w:r>
    </w:p>
    <w:p>
      <w:r>
        <w:t>7. 查看结果（应力、位移、安全系数）</w:t>
      </w:r>
    </w:p>
    <w:p>
      <w:pPr>
        <w:pStyle w:val="Heading2"/>
      </w:pPr>
      <w:r>
        <w:t>6.3 质量属性</w:t>
      </w:r>
    </w:p>
    <w:p>
      <w:r>
        <w:t>查看模型的物理属性：</w:t>
      </w:r>
    </w:p>
    <w:p>
      <w:r>
        <w:rPr>
          <w:b/>
        </w:rPr>
        <w:t>• 重量：</w:t>
      </w:r>
      <w:r>
        <w:t>根据材料和体积计算</w:t>
      </w:r>
    </w:p>
    <w:p>
      <w:r>
        <w:rPr>
          <w:b/>
        </w:rPr>
        <w:t>• 重心：</w:t>
      </w:r>
      <w:r>
        <w:t>质量中心坐标</w:t>
      </w:r>
    </w:p>
    <w:p>
      <w:r>
        <w:rPr>
          <w:b/>
        </w:rPr>
        <w:t>• 惯性矩：</w:t>
      </w:r>
      <w:r>
        <w:t>绕各轴的转动惯量</w:t>
      </w:r>
    </w:p>
    <w:p>
      <w:r>
        <w:rPr>
          <w:b/>
        </w:rPr>
        <w:t>• 表面积：</w:t>
      </w:r>
      <w:r>
        <w:t>模型总表面积</w:t>
      </w:r>
    </w:p>
    <w:p>
      <w:r>
        <w:rPr>
          <w:b/>
        </w:rPr>
        <w:t>• 体积：</w:t>
      </w:r>
      <w:r>
        <w:t>实体体积</w:t>
      </w:r>
    </w:p>
    <w:p>
      <w:r>
        <w:br w:type="page"/>
      </w:r>
    </w:p>
    <w:p>
      <w:pPr>
        <w:pStyle w:val="Heading1"/>
      </w:pPr>
      <w:r>
        <w:t>七、技术支持</w:t>
      </w:r>
    </w:p>
    <w:p>
      <w:r>
        <w:t>如遇到本指南未涵盖的问题，请联系：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技术支持邮箱</w:t>
            </w:r>
          </w:p>
        </w:tc>
        <w:tc>
          <w:tcPr>
            <w:tcW w:type="dxa" w:w="4320"/>
          </w:tcPr>
          <w:p>
            <w:r>
              <w:t>support@ai-cad.com</w:t>
            </w:r>
          </w:p>
        </w:tc>
      </w:tr>
      <w:tr>
        <w:tc>
          <w:tcPr>
            <w:tcW w:type="dxa" w:w="4320"/>
          </w:tcPr>
          <w:p>
            <w:r>
              <w:t>在线文档</w:t>
            </w:r>
          </w:p>
        </w:tc>
        <w:tc>
          <w:tcPr>
            <w:tcW w:type="dxa" w:w="4320"/>
          </w:tcPr>
          <w:p>
            <w:r>
              <w:t>https://docs.ai-cad.com</w:t>
            </w:r>
          </w:p>
        </w:tc>
      </w:tr>
      <w:tr>
        <w:tc>
          <w:tcPr>
            <w:tcW w:type="dxa" w:w="4320"/>
          </w:tcPr>
          <w:p>
            <w:r>
              <w:t>问题反馈</w:t>
            </w:r>
          </w:p>
        </w:tc>
        <w:tc>
          <w:tcPr>
            <w:tcW w:type="dxa" w:w="4320"/>
          </w:tcPr>
          <w:p>
            <w:r>
              <w:t>https://github.com/TomekChen/ai-cad-studio/issues</w:t>
            </w:r>
          </w:p>
        </w:tc>
      </w:tr>
      <w:tr>
        <w:tc>
          <w:tcPr>
            <w:tcW w:type="dxa" w:w="4320"/>
          </w:tcPr>
          <w:p>
            <w:r>
              <w:t>服务时间</w:t>
            </w:r>
          </w:p>
        </w:tc>
        <w:tc>
          <w:tcPr>
            <w:tcW w:type="dxa" w:w="4320"/>
          </w:tcPr>
          <w:p>
            <w:r>
              <w:t>周一至周五 9:00-18:00</w:t>
            </w:r>
          </w:p>
        </w:tc>
      </w:tr>
    </w:tbl>
    <w:p/>
    <w:p>
      <w:r>
        <w:t>---</w:t>
      </w:r>
    </w:p>
    <w:p>
      <w:pPr>
        <w:jc w:val="center"/>
      </w:pPr>
      <w:r>
        <w:rPr>
          <w:color w:val="969696"/>
          <w:sz w:val="20"/>
        </w:rPr>
        <w:t>AI CAD 参数化设计平台 ©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