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89E6D" w14:textId="0C604545" w:rsidR="00445404" w:rsidRPr="00445404" w:rsidRDefault="00445404" w:rsidP="00445404">
      <w:pPr>
        <w:ind w:firstLine="0"/>
        <w:jc w:val="center"/>
        <w:rPr>
          <w:b/>
          <w:bCs/>
          <w:lang w:val="en-IL"/>
        </w:rPr>
      </w:pPr>
      <w:r w:rsidRPr="00445404">
        <w:rPr>
          <w:b/>
          <w:bCs/>
          <w:lang w:val="en-IL"/>
        </w:rPr>
        <w:t>SUPPLEMENTARY MATERIALS</w:t>
      </w:r>
    </w:p>
    <w:p w14:paraId="6CA055AB" w14:textId="161F80B0" w:rsidR="00445404" w:rsidRDefault="00445404" w:rsidP="00445404">
      <w:pPr>
        <w:ind w:firstLine="0"/>
        <w:jc w:val="center"/>
      </w:pPr>
      <w:r>
        <w:t>Simulating Thoughts to Measure and Study Internal Attention in Mental Health</w:t>
      </w:r>
    </w:p>
    <w:p w14:paraId="5E0373C3" w14:textId="77777777" w:rsidR="00445404" w:rsidRDefault="00445404" w:rsidP="00445404">
      <w:pPr>
        <w:ind w:firstLine="0"/>
      </w:pPr>
    </w:p>
    <w:p w14:paraId="61393F92" w14:textId="77777777" w:rsidR="00445404" w:rsidRDefault="00445404" w:rsidP="00445404">
      <w:pPr>
        <w:ind w:firstLine="0"/>
      </w:pPr>
    </w:p>
    <w:p w14:paraId="6C48B94D" w14:textId="77777777" w:rsidR="00445404" w:rsidRDefault="00445404" w:rsidP="00445404">
      <w:pPr>
        <w:ind w:firstLine="0"/>
      </w:pPr>
      <w:r>
        <w:t>Iftach Amir, M.A.</w:t>
      </w:r>
    </w:p>
    <w:p w14:paraId="3CF9A314" w14:textId="77777777" w:rsidR="00445404" w:rsidRDefault="00445404" w:rsidP="00445404">
      <w:pPr>
        <w:ind w:firstLine="0"/>
      </w:pPr>
      <w:proofErr w:type="spellStart"/>
      <w:r>
        <w:t>Liad</w:t>
      </w:r>
      <w:proofErr w:type="spellEnd"/>
      <w:r>
        <w:t xml:space="preserve"> </w:t>
      </w:r>
      <w:proofErr w:type="spellStart"/>
      <w:r>
        <w:t>Ruimi</w:t>
      </w:r>
      <w:proofErr w:type="spellEnd"/>
      <w:r>
        <w:t>, M.A.</w:t>
      </w:r>
    </w:p>
    <w:p w14:paraId="4FF20384" w14:textId="77777777" w:rsidR="00445404" w:rsidRPr="00092ACB" w:rsidRDefault="00445404" w:rsidP="00445404">
      <w:pPr>
        <w:ind w:firstLine="0"/>
      </w:pPr>
      <w:r>
        <w:t>Amit Bernstein, Ph.D.*</w:t>
      </w:r>
    </w:p>
    <w:p w14:paraId="127DC336" w14:textId="77777777" w:rsidR="00445404" w:rsidRPr="00DA48F5" w:rsidRDefault="00445404" w:rsidP="00445404">
      <w:pPr>
        <w:ind w:firstLine="0"/>
      </w:pPr>
      <w:r>
        <w:t>University of Haifa</w:t>
      </w:r>
    </w:p>
    <w:p w14:paraId="7DB6A370" w14:textId="77777777" w:rsidR="00445404" w:rsidRDefault="00445404" w:rsidP="00445404">
      <w:pPr>
        <w:ind w:firstLine="0"/>
      </w:pPr>
    </w:p>
    <w:p w14:paraId="62A90210" w14:textId="77777777" w:rsidR="00445404" w:rsidRDefault="00445404" w:rsidP="00445404">
      <w:pPr>
        <w:spacing w:after="0"/>
        <w:ind w:firstLine="0"/>
      </w:pPr>
    </w:p>
    <w:p w14:paraId="08C0FBC1" w14:textId="77777777" w:rsidR="00445404" w:rsidRDefault="00445404" w:rsidP="00445404">
      <w:pPr>
        <w:pStyle w:val="text-align-center"/>
        <w:spacing w:before="0" w:beforeAutospacing="0" w:after="0" w:afterAutospacing="0" w:line="480" w:lineRule="auto"/>
        <w:ind w:firstLine="0"/>
        <w:outlineLvl w:val="9"/>
      </w:pPr>
      <w:r>
        <w:t>*Corresponding author:</w:t>
      </w:r>
    </w:p>
    <w:p w14:paraId="6E86C9B7" w14:textId="77777777" w:rsidR="00445404" w:rsidRDefault="00445404" w:rsidP="00445404">
      <w:pPr>
        <w:pStyle w:val="text-align-center"/>
        <w:spacing w:before="0" w:beforeAutospacing="0" w:after="0" w:afterAutospacing="0" w:line="480" w:lineRule="auto"/>
        <w:ind w:firstLine="0"/>
        <w:outlineLvl w:val="9"/>
      </w:pPr>
      <w:r>
        <w:t xml:space="preserve">Prof. </w:t>
      </w:r>
      <w:r w:rsidRPr="0006362B">
        <w:t>Amit Bernstein, Ph.D.</w:t>
      </w:r>
    </w:p>
    <w:p w14:paraId="43F570EF" w14:textId="77777777" w:rsidR="00445404" w:rsidRDefault="00445404" w:rsidP="00445404">
      <w:pPr>
        <w:pStyle w:val="text-align-center"/>
        <w:spacing w:before="0" w:beforeAutospacing="0" w:after="0" w:afterAutospacing="0" w:line="480" w:lineRule="auto"/>
        <w:ind w:firstLine="0"/>
        <w:outlineLvl w:val="9"/>
      </w:pPr>
      <w:r w:rsidRPr="0006362B">
        <w:t>Director</w:t>
      </w:r>
      <w:r>
        <w:t>, Observing Minds Lab</w:t>
      </w:r>
    </w:p>
    <w:p w14:paraId="39FA599D" w14:textId="77777777" w:rsidR="00445404" w:rsidRDefault="00445404" w:rsidP="00445404">
      <w:pPr>
        <w:pStyle w:val="text-align-center"/>
        <w:spacing w:before="0" w:beforeAutospacing="0" w:after="0" w:afterAutospacing="0" w:line="480" w:lineRule="auto"/>
        <w:ind w:firstLine="0"/>
        <w:outlineLvl w:val="9"/>
      </w:pPr>
      <w:r w:rsidRPr="0006362B">
        <w:t>Department of Psychology, University of Haifa</w:t>
      </w:r>
    </w:p>
    <w:p w14:paraId="544CBF3D" w14:textId="77777777" w:rsidR="00445404" w:rsidRDefault="00445404" w:rsidP="00445404">
      <w:pPr>
        <w:pStyle w:val="text-align-center"/>
        <w:spacing w:before="0" w:beforeAutospacing="0" w:after="0" w:afterAutospacing="0" w:line="480" w:lineRule="auto"/>
        <w:ind w:firstLine="0"/>
        <w:outlineLvl w:val="9"/>
      </w:pPr>
      <w:r w:rsidRPr="0006362B">
        <w:t>Mount Carmel, Haifa 31905, Israel</w:t>
      </w:r>
    </w:p>
    <w:p w14:paraId="1F5173E2" w14:textId="77777777" w:rsidR="00445404" w:rsidRDefault="00445404" w:rsidP="00445404">
      <w:pPr>
        <w:pStyle w:val="text-align-center"/>
        <w:spacing w:before="0" w:beforeAutospacing="0" w:after="0" w:afterAutospacing="0" w:line="480" w:lineRule="auto"/>
        <w:ind w:firstLine="0"/>
        <w:outlineLvl w:val="9"/>
        <w:rPr>
          <w:rFonts w:asciiTheme="majorBidi" w:hAnsiTheme="majorBidi"/>
          <w:color w:val="000000"/>
        </w:rPr>
      </w:pPr>
      <w:r w:rsidRPr="0006362B">
        <w:rPr>
          <w:rFonts w:asciiTheme="majorBidi" w:hAnsiTheme="majorBidi"/>
          <w:color w:val="000000"/>
        </w:rPr>
        <w:t xml:space="preserve">Email: </w:t>
      </w:r>
      <w:hyperlink r:id="rId7" w:history="1">
        <w:r w:rsidRPr="00892482">
          <w:rPr>
            <w:rStyle w:val="Hyperlink"/>
            <w:rFonts w:asciiTheme="majorBidi" w:hAnsiTheme="majorBidi"/>
          </w:rPr>
          <w:t>abernstein@psy.haifa.ac.il</w:t>
        </w:r>
      </w:hyperlink>
    </w:p>
    <w:p w14:paraId="12D76E16" w14:textId="77777777" w:rsidR="00445404" w:rsidRDefault="00445404" w:rsidP="00445404">
      <w:pPr>
        <w:pStyle w:val="text-align-center"/>
        <w:spacing w:before="0" w:beforeAutospacing="0" w:after="0" w:afterAutospacing="0" w:line="480" w:lineRule="auto"/>
        <w:ind w:firstLine="0"/>
        <w:outlineLvl w:val="9"/>
      </w:pPr>
      <w:r w:rsidRPr="007E548F">
        <w:t>Lab: http://irca-haifa-6h5e.squarespace.com/</w:t>
      </w:r>
    </w:p>
    <w:p w14:paraId="6DA6F252" w14:textId="77777777" w:rsidR="00445404" w:rsidRPr="0006362B" w:rsidRDefault="00445404" w:rsidP="00445404">
      <w:pPr>
        <w:pStyle w:val="text-align-center"/>
        <w:spacing w:before="0" w:beforeAutospacing="0" w:after="0" w:afterAutospacing="0" w:line="480" w:lineRule="auto"/>
        <w:ind w:firstLine="0"/>
        <w:outlineLvl w:val="9"/>
      </w:pPr>
      <w:r w:rsidRPr="0006362B">
        <w:t>Phone</w:t>
      </w:r>
      <w:r w:rsidRPr="00AE0FD6">
        <w:t>: +972-4-824-9659</w:t>
      </w:r>
      <w:r w:rsidRPr="0006362B">
        <w:t xml:space="preserve"> | Fax: +972-4-824-0966</w:t>
      </w:r>
    </w:p>
    <w:p w14:paraId="6575A0A2" w14:textId="77777777" w:rsidR="00445404" w:rsidRDefault="00445404">
      <w:pPr>
        <w:spacing w:line="259" w:lineRule="auto"/>
        <w:ind w:firstLine="0"/>
        <w:contextualSpacing w:val="0"/>
        <w:jc w:val="left"/>
        <w:rPr>
          <w:b/>
          <w:bCs/>
        </w:rPr>
      </w:pPr>
      <w:r>
        <w:br w:type="page"/>
      </w:r>
    </w:p>
    <w:p w14:paraId="04E9171C" w14:textId="7EDFA97A" w:rsidR="009245D6" w:rsidRPr="00354C6E" w:rsidRDefault="009245D6" w:rsidP="00354C6E">
      <w:pPr>
        <w:pStyle w:val="Heading1"/>
      </w:pPr>
      <w:r w:rsidRPr="00354C6E">
        <w:lastRenderedPageBreak/>
        <w:t>SUPPLEMENTARY MATERIALS</w:t>
      </w:r>
    </w:p>
    <w:p w14:paraId="7D284A89" w14:textId="77777777" w:rsidR="009245D6" w:rsidRDefault="009245D6" w:rsidP="00354C6E"/>
    <w:p w14:paraId="0DC060E9" w14:textId="77777777" w:rsidR="009245D6" w:rsidRDefault="009245D6" w:rsidP="00354C6E">
      <w:pPr>
        <w:pStyle w:val="Heading1"/>
      </w:pPr>
      <w:r>
        <w:t>METHOD</w:t>
      </w:r>
    </w:p>
    <w:p w14:paraId="0EFCDF0E" w14:textId="77777777" w:rsidR="005013DC" w:rsidRPr="00354C6E" w:rsidRDefault="009245D6" w:rsidP="00354C6E">
      <w:pPr>
        <w:pStyle w:val="Heading2"/>
      </w:pPr>
      <w:r w:rsidRPr="00354C6E">
        <w:t>Sim</w:t>
      </w:r>
      <w:r w:rsidR="005013DC" w:rsidRPr="00354C6E">
        <w:t>ulated Thoughts Paradigm (STP)</w:t>
      </w:r>
    </w:p>
    <w:p w14:paraId="206A8080" w14:textId="74D733A6" w:rsidR="00203A4B" w:rsidRPr="00354C6E" w:rsidRDefault="002A68FD" w:rsidP="00354C6E">
      <w:pPr>
        <w:pStyle w:val="NoSpacing"/>
        <w:spacing w:line="480" w:lineRule="auto"/>
        <w:outlineLvl w:val="9"/>
      </w:pPr>
      <w:r w:rsidRPr="00354C6E">
        <w:rPr>
          <w:rStyle w:val="Heading3Char"/>
        </w:rPr>
        <w:t>Idiographic stimuli selection.</w:t>
      </w:r>
      <w:r w:rsidR="008567F0" w:rsidRPr="00354C6E">
        <w:t xml:space="preserve"> </w:t>
      </w:r>
      <w:r w:rsidRPr="00354C6E">
        <w:t>A list of 67 NEG-SR was generated from items from three established questionnaires: The Beck Depression Inventory II (BDI-II;</w:t>
      </w:r>
      <w:r w:rsidR="008416BC">
        <w:fldChar w:fldCharType="begin" w:fldLock="1"/>
      </w:r>
      <w:r w:rsidR="008416BC">
        <w:instrText>ADDIN CSL_CITATION {"citationItems":[{"id":"ITEM-1","itemData":{"DOI":"10.1016/0272-7358(88)90050-5. PMCID: N/A","author":[{"dropping-particle":"","family":"Beck","given":"A T","non-dropping-particle":"","parse-names":false,"suffix":""},{"dropping-particle":"","family":"Steer","given":"R A","non-dropping-particle":"","parse-names":false,"suffix":""},{"dropping-particle":"","family":"Garbin","given":"M G","non-dropping-particle":"","parse-names":false,"suffix":""}],"container-title":"Clinical Psychology Review","id":"ITEM-1","issued":{"date-parts":[["1998"]]},"page":"841-865","title":"Psychometric properties of the Beck Depression Inventory","type":"article-journal","volume":"42"},"uris":["http://www.mendeley.com/documents/?uuid=a11d38e9-7114-49b1-b5ff-6a0ac9141028"]}],"mendeley":{"formattedCitation":"&lt;sup&gt;1&lt;/sup&gt;","plainTextFormattedCitation":"1","previouslyFormattedCitation":"&lt;sup&gt;1&lt;/sup&gt;"},"properties":{"noteIndex":0},"schema":"https://github.com/citation-style-language/schema/raw/master/csl-citation.json"}</w:instrText>
      </w:r>
      <w:r w:rsidR="008416BC">
        <w:fldChar w:fldCharType="separate"/>
      </w:r>
      <w:r w:rsidR="008416BC" w:rsidRPr="008416BC">
        <w:rPr>
          <w:noProof/>
          <w:vertAlign w:val="superscript"/>
        </w:rPr>
        <w:t>1</w:t>
      </w:r>
      <w:r w:rsidR="008416BC">
        <w:fldChar w:fldCharType="end"/>
      </w:r>
      <w:r w:rsidR="008416BC">
        <w:t>)</w:t>
      </w:r>
      <w:r w:rsidR="00AF380C" w:rsidRPr="00354C6E">
        <w:t xml:space="preserve"> </w:t>
      </w:r>
      <w:r w:rsidRPr="00354C6E">
        <w:t>Rumination Response Scale (RRS</w:t>
      </w:r>
      <w:r w:rsidR="008416BC">
        <w:t xml:space="preserve">; </w:t>
      </w:r>
      <w:r w:rsidR="008416BC">
        <w:fldChar w:fldCharType="begin" w:fldLock="1"/>
      </w:r>
      <w:r w:rsidR="008416BC">
        <w:instrText>ADDIN CSL_CITATION {"citationItems":[{"id":"ITEM-1","itemData":{"DOI":"10.1023/A:1023910315561","ISSN":"1573-2819","abstract":"In an attempt to eliminate similar item content as an alternative explanation for the relation between depression and rumination, a secondary analysis was conducted using the data from S. Nolen-Hoeksema, J. Larson, and C. Grayson (1999). After constructing a measure of rumination unconfounded with depression content, support for a two factor model of rumination was found. These analyses indicate that the 2 components, reflective pondering and brooding, differentially relate to depression in terms of predictive ability and gender difference mediation. The results presented here support the general premise of Nolen-Hoeksema's Response Styles Theory (S. Nolen-Hoeksema 1987) that rumination can contribute to more depressive symptoms and to the gender difference in depression, but suggest important refinements of the theory. Such refinements include the need to differentiate between the reflective pondering component of rumination and the brooding component in rumination research.","author":[{"dropping-particle":"","family":"Treynor","given":"Wendy","non-dropping-particle":"","parse-names":false,"suffix":""},{"dropping-particle":"","family":"Gonzalez","given":"Richard","non-dropping-particle":"","parse-names":false,"suffix":""},{"dropping-particle":"","family":"Nolen-Hoeksema","given":"Susan","non-dropping-particle":"","parse-names":false,"suffix":""}],"container-title":"Cognitive Therapy and Research","id":"ITEM-1","issue":"3","issued":{"date-parts":[["2003","6"]]},"page":"247-259","title":"Rumination Reconsidered: A Psychometric Analysis","type":"article-journal","volume":"27"},"uris":["http://www.mendeley.com/documents/?uuid=58d2a3bb-ef3e-4637-8c56-3d3d725721b5"]}],"mendeley":{"formattedCitation":"&lt;sup&gt;2&lt;/sup&gt;","plainTextFormattedCitation":"2"},"properties":{"noteIndex":0},"schema":"https://github.com/citation-style-language/schema/raw/master/csl-citation.json"}</w:instrText>
      </w:r>
      <w:r w:rsidR="008416BC">
        <w:fldChar w:fldCharType="separate"/>
      </w:r>
      <w:r w:rsidR="008416BC" w:rsidRPr="008416BC">
        <w:rPr>
          <w:noProof/>
          <w:vertAlign w:val="superscript"/>
        </w:rPr>
        <w:t>2</w:t>
      </w:r>
      <w:r w:rsidR="008416BC">
        <w:fldChar w:fldCharType="end"/>
      </w:r>
      <w:r w:rsidRPr="00354C6E">
        <w:t>) and the Automatic Thoughts Questionnaire (ATQ;</w:t>
      </w:r>
      <w:r w:rsidR="00BD54E0" w:rsidRPr="00354C6E">
        <w:t xml:space="preserve"> </w:t>
      </w:r>
      <w:r w:rsidR="00BD54E0" w:rsidRPr="00354C6E">
        <w:fldChar w:fldCharType="begin" w:fldLock="1"/>
      </w:r>
      <w:r w:rsidR="00D5401E">
        <w:instrText>ADDIN CSL_CITATION {"citationItems":[{"id":"ITEM-1","itemData":{"DOI":"10.1007/BF01178214","ISSN":"1573-2819","abstract":"A 30-item questionnaire was devised to measure the frequency of occurrence of automatic negative thoughts (negative self-statements)associated with depression. Male and female undergraduates were asked to recall dysphoric experiences and to report associated cognitions. One hundred representative cognitions were selected and administered to a second sample, along with the MMPI D scale and the Beck Depression Inventory. Thirty items discriminating between criterion groups of psychometrically depressed and nondepressed subjects were identified. The resultant 30-item automatic thoughts questionnaire (ATQ-30)was cross-validated and found to significantly discriminate psychometrically depressed from nondepressed criterion groups. No differences were found between males and females on the measure. Factor analysis indicated a four-factor solution, with a large first factor reflecting Personal Maladjustment, a second factor indicative of Negative Self-Concept and Negative Expectations, and two lesser factors. The ATQ-30 may provide a means of testing basic theory relating cognitive content to behavioral and affective processes and assessing change in cognitions associated with experimental manipulation or psychotherapeutic intervention.","author":[{"dropping-particle":"","family":"Hollon","given":"Steven D","non-dropping-particle":"","parse-names":false,"suffix":""},{"dropping-particle":"","family":"Kendall","given":"Philip C","non-dropping-particle":"","parse-names":false,"suffix":""}],"container-title":"Cognitive Therapy and Research","id":"ITEM-1","issue":"4","issued":{"date-parts":[["1980","12"]]},"page":"383-395","title":"Cognitive self-statements in depression: Development of an automatic thoughts questionnaire","type":"article-journal","volume":"4"},"uris":["http://www.mendeley.com/documents/?uuid=781afe9f-2dec-4a71-a7f6-fda019dc854c"]}],"mendeley":{"formattedCitation":"&lt;sup&gt;3&lt;/sup&gt;","plainTextFormattedCitation":"3","previouslyFormattedCitation":"&lt;sup&gt;3&lt;/sup&gt;"},"properties":{"noteIndex":0},"schema":"https://github.com/citation-style-language/schema/raw/master/csl-citation.json"}</w:instrText>
      </w:r>
      <w:r w:rsidR="00BD54E0" w:rsidRPr="00354C6E">
        <w:fldChar w:fldCharType="separate"/>
      </w:r>
      <w:r w:rsidR="00D5401E" w:rsidRPr="00D5401E">
        <w:rPr>
          <w:noProof/>
          <w:vertAlign w:val="superscript"/>
        </w:rPr>
        <w:t>3</w:t>
      </w:r>
      <w:r w:rsidR="00BD54E0" w:rsidRPr="00354C6E">
        <w:fldChar w:fldCharType="end"/>
      </w:r>
      <w:r w:rsidRPr="00354C6E">
        <w:t xml:space="preserve">). Certain items from these questionnaires were rephrased to better mimic simple, self-referential, internal-dialogue-like phrasing. For example, the first RRS item "Think about how alone you feel." was changed to "I'm so alone." Additionally, overlapping content items between questionnaires </w:t>
      </w:r>
      <w:r w:rsidR="00BD54E0" w:rsidRPr="00354C6E">
        <w:fldChar w:fldCharType="begin" w:fldLock="1"/>
      </w:r>
      <w:r w:rsidR="00D5401E">
        <w:instrText>ADDIN CSL_CITATION {"citationItems":[{"id":"ITEM-1","itemData":{"DOI":"10.1023/A:1023910315561","ISSN":"1573-2819","abstract":"In an attempt to eliminate similar item content as an alternative explanation for the relation between depression and rumination, a secondary analysis was conducted using the data from S. Nolen-Hoeksema, J. Larson, and C. Grayson (1999). After constructing a measure of rumination unconfounded with depression content, support for a two factor model of rumination was found. These analyses indicate that the 2 components, reflective pondering and brooding, differentially relate to depression in terms of predictive ability and gender difference mediation. The results presented here support the general premise of Nolen-Hoeksema's Response Styles Theory (S. Nolen-Hoeksema 1987) that rumination can contribute to more depressive symptoms and to the gender difference in depression, but suggest important refinements of the theory. Such refinements include the need to differentiate between the reflective pondering component of rumination and the brooding component in rumination research.","author":[{"dropping-particle":"","family":"Treynor","given":"Wendy","non-dropping-particle":"","parse-names":false,"suffix":""},{"dropping-particle":"","family":"Gonzalez","given":"Richard","non-dropping-particle":"","parse-names":false,"suffix":""},{"dropping-particle":"","family":"Nolen-Hoeksema","given":"Susan","non-dropping-particle":"","parse-names":false,"suffix":""}],"container-title":"Cognitive Therapy and Research","id":"ITEM-1","issue":"3","issued":{"date-parts":[["2003","6"]]},"page":"247-259","title":"Rumination Reconsidered: A Psychometric Analysis","type":"article-journal","volume":"27"},"uris":["http://www.mendeley.com/documents/?uuid=58d2a3bb-ef3e-4637-8c56-3d3d725721b5"]}],"mendeley":{"formattedCitation":"&lt;sup&gt;2&lt;/sup&gt;","plainTextFormattedCitation":"2","previouslyFormattedCitation":"&lt;sup&gt;2&lt;/sup&gt;"},"properties":{"noteIndex":0},"schema":"https://github.com/citation-style-language/schema/raw/master/csl-citation.json"}</w:instrText>
      </w:r>
      <w:r w:rsidR="00BD54E0" w:rsidRPr="00354C6E">
        <w:fldChar w:fldCharType="separate"/>
      </w:r>
      <w:r w:rsidR="00D5401E" w:rsidRPr="00D5401E">
        <w:rPr>
          <w:noProof/>
          <w:vertAlign w:val="superscript"/>
        </w:rPr>
        <w:t>2</w:t>
      </w:r>
      <w:r w:rsidR="00BD54E0" w:rsidRPr="00354C6E">
        <w:fldChar w:fldCharType="end"/>
      </w:r>
      <w:r w:rsidRPr="00354C6E">
        <w:t xml:space="preserve"> were removed (i.e., when two items had the same meaning, only one was used). We generated an additional 33 </w:t>
      </w:r>
      <w:r w:rsidR="00D5490D" w:rsidRPr="00354C6E">
        <w:t>(neutral self-referential (</w:t>
      </w:r>
      <w:r w:rsidRPr="00354C6E">
        <w:t>NTR-SR</w:t>
      </w:r>
      <w:r w:rsidR="00D5490D" w:rsidRPr="00354C6E">
        <w:t>)</w:t>
      </w:r>
      <w:r w:rsidR="00A06217" w:rsidRPr="00354C6E">
        <w:t xml:space="preserve"> sentences</w:t>
      </w:r>
      <w:r w:rsidRPr="00354C6E">
        <w:t>, with sentences such as "I'm a university student." and "I'm participating in an experiment."</w:t>
      </w:r>
    </w:p>
    <w:p w14:paraId="65812749" w14:textId="144A6606" w:rsidR="005A4DB6" w:rsidRDefault="005A4DB6" w:rsidP="00354C6E">
      <w:r w:rsidRPr="00354C6E">
        <w:rPr>
          <w:rStyle w:val="Heading3Char"/>
        </w:rPr>
        <w:t>Stimuli Recording.</w:t>
      </w:r>
      <w:r w:rsidRPr="005013DC">
        <w:t xml:space="preserve"> </w:t>
      </w:r>
      <w:r w:rsidR="00FB45FA" w:rsidRPr="00FB45FA">
        <w:t xml:space="preserve">Participants were recorded using microphones placed in the participants’ ears (Roland CS-10EM). This simple approach helps to </w:t>
      </w:r>
      <w:r w:rsidR="00203A4B">
        <w:t xml:space="preserve">better </w:t>
      </w:r>
      <w:r w:rsidR="00FB45FA" w:rsidRPr="00FB45FA">
        <w:t>capture the sonic properties of hearing oneself when speaking</w:t>
      </w:r>
      <w:r w:rsidR="00203A4B">
        <w:t xml:space="preserve"> relative to typical placement of microphones in-front of the mouth</w:t>
      </w:r>
      <w:r w:rsidR="00BD54E0">
        <w:t xml:space="preserve"> </w:t>
      </w:r>
      <w:r w:rsidR="00BD54E0">
        <w:fldChar w:fldCharType="begin" w:fldLock="1"/>
      </w:r>
      <w:r w:rsidR="00D5401E">
        <w:instrText>ADDIN CSL_CITATION {"citationItems":[{"id":"ITEM-1","itemData":{"ISSN":"1531-7129","abstract":"Objective: \nThe fact that vibration of the skull causes a hearing sensation has been known since the 19th century. This mode of hearing was termed hearing by bone conduction. Although there has been more than a century of research on hearing by bone conduction, its physiology is not completely understood. Lately, new insights into the physiology of hearing by bone conduction have been reported. Knowledge of the physiology, clinical aspects, and limitations of bone conduction sound is important for clinicians dealing with hearing loss and is the purpose of this review.\nData Sources:\nThe data were compiled from the published literature in the areas of clinical bone conduction hearing, bone conduction hearing aids, basic research on bone conduction physiology, and recent research on bone conduction hearing from our laboratory.\nConclusion:\nFive factors contributing to bone conduction hearing have been identified: 1) sound radiated into the external ear canal, 2) middle ear ossicle inertia, 3) inertia of the cochlear fluids, 4) compression of the cochlear walls, and 5) pressure transmission from the cerebrospinal fluid. Of these five, inertia of the cochlear fluid seems most important. Bone conduction sound is believed to reflect the true cochlear function; however, certain conditions such as middle ear diseases can affect bone conduction sensitivity, but less than for air conduction. The bone conduction route can also be used for hearing aids; since the bone conduction route is less efficient than the air conduction route, bone conduction hearing aids are primarily used for hearing losses where air conduction hearing aids are contraindicated.","author":[{"dropping-particle":"","family":"Stenfelt","given":"Stefan","non-dropping-particle":"","parse-names":false,"suffix":""},{"dropping-particle":"","family":"Goode","given":"Richard L","non-dropping-particle":"","parse-names":false,"suffix":""}],"container-title":"Otology &amp; Neurotology","id":"ITEM-1","issue":"6","issued":{"date-parts":[["2005"]]},"title":"Bone-Conducted Sound: Physiological and Clinical Aspects","type":"article-journal","volume":"26"},"uris":["http://www.mendeley.com/documents/?uuid=e03205fd-5c8c-49a4-bc16-4dd90780ea1b"]}],"mendeley":{"formattedCitation":"&lt;sup&gt;4&lt;/sup&gt;","plainTextFormattedCitation":"4","previouslyFormattedCitation":"&lt;sup&gt;4&lt;/sup&gt;"},"properties":{"noteIndex":0},"schema":"https://github.com/citation-style-language/schema/raw/master/csl-citation.json"}</w:instrText>
      </w:r>
      <w:r w:rsidR="00BD54E0">
        <w:fldChar w:fldCharType="separate"/>
      </w:r>
      <w:r w:rsidR="00D5401E" w:rsidRPr="00D5401E">
        <w:rPr>
          <w:noProof/>
          <w:vertAlign w:val="superscript"/>
        </w:rPr>
        <w:t>4</w:t>
      </w:r>
      <w:r w:rsidR="00BD54E0">
        <w:fldChar w:fldCharType="end"/>
      </w:r>
      <w:r w:rsidR="00FB45FA">
        <w:t xml:space="preserve">. </w:t>
      </w:r>
      <w:r>
        <w:t xml:space="preserve">First, participants were instructed to sit quietly, without moving, for 5 sec. During </w:t>
      </w:r>
      <w:proofErr w:type="gramStart"/>
      <w:r>
        <w:t>this 5 sec silent period background noise</w:t>
      </w:r>
      <w:proofErr w:type="gramEnd"/>
      <w:r>
        <w:t xml:space="preserve"> in the room </w:t>
      </w:r>
      <w:r w:rsidR="009A40CA">
        <w:t xml:space="preserve">was </w:t>
      </w:r>
      <w:r>
        <w:t>recorded (this recording is later used to filter background white noise from recorded stimuli). The participant was then instructed:</w:t>
      </w:r>
    </w:p>
    <w:p w14:paraId="26CD0AF1" w14:textId="747EEFEA" w:rsidR="005A4DB6" w:rsidRDefault="005A4DB6" w:rsidP="00354C6E">
      <w:r>
        <w:t xml:space="preserve">"You will now be asked to speak 40 sentences out loud, one sentence at a time. Each time you are asked to say aloud one sentence which will appear on the screen. For each sentence, </w:t>
      </w:r>
      <w:r>
        <w:rPr>
          <w:b/>
          <w:bCs/>
        </w:rPr>
        <w:t xml:space="preserve">take a moment to </w:t>
      </w:r>
      <w:r w:rsidR="004C17D0">
        <w:rPr>
          <w:b/>
          <w:bCs/>
        </w:rPr>
        <w:t xml:space="preserve">say </w:t>
      </w:r>
      <w:r>
        <w:rPr>
          <w:b/>
          <w:bCs/>
        </w:rPr>
        <w:t xml:space="preserve">it to yourself in your </w:t>
      </w:r>
      <w:r w:rsidR="004C17D0">
        <w:rPr>
          <w:b/>
          <w:bCs/>
        </w:rPr>
        <w:t>head</w:t>
      </w:r>
      <w:r>
        <w:rPr>
          <w:b/>
          <w:bCs/>
        </w:rPr>
        <w:t>.</w:t>
      </w:r>
      <w:r>
        <w:t xml:space="preserve"> When you are ready, </w:t>
      </w:r>
      <w:r>
        <w:lastRenderedPageBreak/>
        <w:t xml:space="preserve">press the space bar, wait during the displayed 3 second countdown and then say the sentence out loud </w:t>
      </w:r>
      <w:r>
        <w:rPr>
          <w:b/>
          <w:bCs/>
        </w:rPr>
        <w:t xml:space="preserve">as you pronounce it when speaking in your </w:t>
      </w:r>
      <w:r w:rsidR="008F35E7">
        <w:rPr>
          <w:b/>
          <w:bCs/>
        </w:rPr>
        <w:t>head</w:t>
      </w:r>
      <w:r>
        <w:rPr>
          <w:b/>
          <w:bCs/>
        </w:rPr>
        <w:t>.</w:t>
      </w:r>
      <w:r>
        <w:t xml:space="preserve"> When you finished speaking the sentence, press again the space bar."</w:t>
      </w:r>
    </w:p>
    <w:p w14:paraId="3F6FC0B6" w14:textId="4B9BE358" w:rsidR="009245D6" w:rsidRDefault="005A4DB6" w:rsidP="00354C6E">
      <w:r>
        <w:t xml:space="preserve">The experimenter then guided the participant through three practice sentences. First, the twenty NTR-SR sentences </w:t>
      </w:r>
      <w:r w:rsidR="006565D3">
        <w:t>we</w:t>
      </w:r>
      <w:r>
        <w:t>re presented, followed by the twenty NEG-SR sentences. During the recording period, the experimenters listen</w:t>
      </w:r>
      <w:r w:rsidR="006565D3">
        <w:t xml:space="preserve">ed "on-line" </w:t>
      </w:r>
      <w:r>
        <w:t xml:space="preserve">to the recording of each sentence. Sentences which </w:t>
      </w:r>
      <w:r w:rsidR="006565D3">
        <w:t>we</w:t>
      </w:r>
      <w:r>
        <w:t xml:space="preserve">re abnormal in fluency (e.g., include stuttering, coughing, participant forgets the sentence, etc.) </w:t>
      </w:r>
      <w:r w:rsidR="006565D3">
        <w:t>we</w:t>
      </w:r>
      <w:r>
        <w:t>re marked. Once the participant finished recording all forty STP stimuli, the</w:t>
      </w:r>
      <w:r w:rsidR="006565D3">
        <w:t xml:space="preserve"> experimental</w:t>
      </w:r>
      <w:r>
        <w:t xml:space="preserve"> software repeat</w:t>
      </w:r>
      <w:r w:rsidR="006565D3">
        <w:t>ed</w:t>
      </w:r>
      <w:r>
        <w:t xml:space="preserve"> the procedure for the stimuli which were marked as abnormal – i.e., the participant</w:t>
      </w:r>
      <w:r w:rsidR="009A40CA">
        <w:t xml:space="preserve"> then </w:t>
      </w:r>
      <w:r>
        <w:t>record</w:t>
      </w:r>
      <w:r w:rsidR="006565D3">
        <w:t>ed</w:t>
      </w:r>
      <w:r>
        <w:t xml:space="preserve"> those same stimuli</w:t>
      </w:r>
      <w:r w:rsidR="009A40CA">
        <w:t xml:space="preserve"> once again</w:t>
      </w:r>
      <w:r>
        <w:t xml:space="preserve">. </w:t>
      </w:r>
      <w:r w:rsidR="008416BC">
        <w:t>Finally,</w:t>
      </w:r>
      <w:r>
        <w:t xml:space="preserve"> experimenter</w:t>
      </w:r>
      <w:r w:rsidR="008416BC">
        <w:t>s</w:t>
      </w:r>
      <w:r>
        <w:t xml:space="preserve"> review</w:t>
      </w:r>
      <w:r w:rsidR="006565D3">
        <w:t>ed</w:t>
      </w:r>
      <w:r>
        <w:t xml:space="preserve"> and edit</w:t>
      </w:r>
      <w:r w:rsidR="006565D3">
        <w:t>ed</w:t>
      </w:r>
      <w:r>
        <w:t xml:space="preserve"> recorded sentences, removing silent periods at the beginning and end of each recording, as well as removing background white-noise</w:t>
      </w:r>
      <w:r w:rsidR="00F805D5">
        <w:t xml:space="preserve"> and then running a low-pass filter</w:t>
      </w:r>
      <w:r w:rsidR="009A40CA">
        <w:t xml:space="preserve"> on the sound files</w:t>
      </w:r>
      <w:r w:rsidR="00BC30E5">
        <w:t>. The low-pass filter was used because it was</w:t>
      </w:r>
      <w:r w:rsidR="00AE3D87">
        <w:t xml:space="preserve"> previously demonstrated to increase the </w:t>
      </w:r>
      <w:r w:rsidR="00BC30E5">
        <w:t xml:space="preserve">subjective </w:t>
      </w:r>
      <w:r w:rsidR="00AE3D87">
        <w:t>ratings</w:t>
      </w:r>
      <w:r w:rsidR="002F2E45">
        <w:t xml:space="preserve"> </w:t>
      </w:r>
      <w:r w:rsidR="00BC30E5">
        <w:t>own-voice familiarity (i.e., sounds like me)</w:t>
      </w:r>
      <w:r w:rsidR="006606C7">
        <w:t xml:space="preserve"> </w:t>
      </w:r>
      <w:r w:rsidR="006606C7">
        <w:fldChar w:fldCharType="begin" w:fldLock="1"/>
      </w:r>
      <w:r w:rsidR="00D5401E">
        <w:instrText>ADDIN CSL_CITATION {"citationItems":[{"id":"ITEM-1","itemData":{"DOI":"10.1016/S0021-9924(02)00132-6","ISSN":"0021-9924","abstract":"The subject of how humans hear their own voices while speaking has received sporadic attention. Previous investigations suggest that the voice is heard substantially via bone conduction, implying a different transfer function to the ear—perhaps a low-pass filter—than for purely air-conducted vocalizations. Determining the characteristics of the transfer function of self-produced speech might contribute to a better understanding of self-perception. Such information may have important implications for treating articulation disorders. The efficacy of training discrimination during the remediation of articulation disorders remains unclear, perhaps because clients are asked to discriminate either speech of others or recorded self-speech samples not readily recognized as their own. This study was conducted to determine preference for filtered self-monitored speech in a delayed feedback paradigm. Participants made immediate comparisons of their real-time speech to delayed-recorded filtered self-speech samples. Participants demonstrated a clear preference for low-pass filtered speech, supporting earlier findings, but we were unable to determine the transfer function itself. \n\nLEARNING OUTCOMES\nAs a result of this activity, the learner will be able to describe some reasons why an individual’s tape recorded speech typically sounds different to him/her from his/her own, live speech. As a result of this activity, the learner will be able to describe some potential applications for an accurately-characterized transfer function for self-produced speech.","author":[{"dropping-particle":"","family":"Shuster","given":"Linda I","non-dropping-particle":"","parse-names":false,"suffix":""},{"dropping-particle":"","family":"Durrant","given":"John D","non-dropping-particle":"","parse-names":false,"suffix":""}],"container-title":"Journal of Communication Disorders","id":"ITEM-1","issue":"1","issued":{"date-parts":[["2003","1","1"]]},"page":"1-11","publisher":"Elsevier","title":"Toward a better understanding of the perception of self-produced speech","type":"article-journal","volume":"36"},"uris":["http://www.mendeley.com/documents/?uuid=693618bc-b78d-33d9-add9-f72d3c064f8a"]}],"mendeley":{"formattedCitation":"&lt;sup&gt;5&lt;/sup&gt;","plainTextFormattedCitation":"5","previouslyFormattedCitation":"&lt;sup&gt;5&lt;/sup&gt;"},"properties":{"noteIndex":0},"schema":"https://github.com/citation-style-language/schema/raw/master/csl-citation.json"}</w:instrText>
      </w:r>
      <w:r w:rsidR="006606C7">
        <w:fldChar w:fldCharType="separate"/>
      </w:r>
      <w:r w:rsidR="00D5401E" w:rsidRPr="00D5401E">
        <w:rPr>
          <w:noProof/>
          <w:vertAlign w:val="superscript"/>
        </w:rPr>
        <w:t>5</w:t>
      </w:r>
      <w:r w:rsidR="006606C7">
        <w:fldChar w:fldCharType="end"/>
      </w:r>
      <w:r w:rsidR="00155CFD">
        <w:t xml:space="preserve"> due </w:t>
      </w:r>
      <w:r w:rsidR="00BC30E5">
        <w:t xml:space="preserve">to the filter’s </w:t>
      </w:r>
      <w:r w:rsidR="00203A4B">
        <w:t>compensat</w:t>
      </w:r>
      <w:r w:rsidR="00155CFD">
        <w:t>ion</w:t>
      </w:r>
      <w:r w:rsidR="00203A4B">
        <w:t xml:space="preserve"> for the loss of lower (bass) frequencies transmitted</w:t>
      </w:r>
      <w:r w:rsidR="00AE3D87">
        <w:t xml:space="preserve"> via skull-bone vibrations when hearing oneself </w:t>
      </w:r>
      <w:r w:rsidR="00155CFD">
        <w:t xml:space="preserve">while </w:t>
      </w:r>
      <w:r w:rsidR="00AE3D87">
        <w:t>speaking</w:t>
      </w:r>
      <w:r w:rsidR="00BC30E5">
        <w:t xml:space="preserve">. Moreover, we normalized </w:t>
      </w:r>
      <w:r>
        <w:t xml:space="preserve">maximum amplitude </w:t>
      </w:r>
      <w:r w:rsidRPr="00155CFD">
        <w:t>of recordings to -15dB</w:t>
      </w:r>
      <w:r w:rsidR="009A40CA" w:rsidRPr="00155CFD">
        <w:t xml:space="preserve"> </w:t>
      </w:r>
      <w:r w:rsidR="00BC30E5">
        <w:t>to</w:t>
      </w:r>
      <w:r w:rsidR="009A40CA" w:rsidRPr="008F35E7">
        <w:t xml:space="preserve"> </w:t>
      </w:r>
      <w:r w:rsidR="00155CFD" w:rsidRPr="00BC30E5">
        <w:t xml:space="preserve">standardize </w:t>
      </w:r>
      <w:r w:rsidR="00BC30E5">
        <w:t>simulated thought stimulus volume within- and between-subjects</w:t>
      </w:r>
    </w:p>
    <w:p w14:paraId="3C9F335F" w14:textId="133BBDAB" w:rsidR="005013DC" w:rsidRPr="005013DC" w:rsidRDefault="005013DC" w:rsidP="00354C6E">
      <w:pPr>
        <w:pStyle w:val="Heading2"/>
      </w:pPr>
      <w:r>
        <w:t>Questionnaires</w:t>
      </w:r>
    </w:p>
    <w:p w14:paraId="34AB7AA2" w14:textId="23B25E51" w:rsidR="00ED34CF" w:rsidRPr="00485A5A" w:rsidRDefault="009A40CA" w:rsidP="00354C6E">
      <w:pPr>
        <w:rPr>
          <w:i/>
          <w:iCs/>
        </w:rPr>
      </w:pPr>
      <w:r>
        <w:t>In addition to scales reported in the manuscript, we also</w:t>
      </w:r>
      <w:r w:rsidR="00ED34CF">
        <w:t xml:space="preserve"> measured cognitive fusion or reactivity to thought content</w:t>
      </w:r>
      <w:r w:rsidR="006606C7">
        <w:t xml:space="preserve"> </w:t>
      </w:r>
      <w:r w:rsidR="006606C7">
        <w:fldChar w:fldCharType="begin" w:fldLock="1"/>
      </w:r>
      <w:r w:rsidR="00D5401E">
        <w:instrText>ADDIN CSL_CITATION {"citationItems":[{"id":"ITEM-1","itemData":{"DOI":"10.1177/1745691615594577","ISBN":"9788578110796","ISSN":"17456924","PMID":"26385999","abstract":"The capacity to shift experiential perspective – from within one’s subjective experience, onto that experience – is fundamental to being human. Scholars have long theorized that this metacognitive capacity – that we refer to as decentering – may play an important role in mental health. To help illuminate this mental phenomenon and its links to mental health, we critically examine decentering-related constructs and their respective literatures (e.g., self-distanced perspective, cognitive distancing, cognitive defusion). First, we introduce a novel meta-cognitive processes model of decentering. Specifically, we propose that, to varying degrees, decenteringrelated constructs reflect a common mental phenomenon sub-served by three inter-related metacognitive processes: meta-awareness, disidentification from internal experience, and reducedreactivity to thought content. Second, we examine extant research linking decentering-related constructs and their underlying meta-cognitive processes to mental health. We conclude by proposing future directions for research that transcends decentering-related constructs in an effort to advance the field’s understanding of this facet of human experience and its role in (mal)adaptation.","author":[{"dropping-particle":"","family":"Bernstein","given":"Amit","non-dropping-particle":"","parse-names":false,"suffix":""},{"dropping-particle":"","family":"Hadash","given":"Yuval","non-dropping-particle":"","parse-names":false,"suffix":""},{"dropping-particle":"","family":"Lichtash","given":"Yael","non-dropping-particle":"","parse-names":false,"suffix":""},{"dropping-particle":"","family":"Tanay","given":"Galia","non-dropping-particle":"","parse-names":false,"suffix":""},{"dropping-particle":"","family":"Shepherd","given":"Kathrine","non-dropping-particle":"","parse-names":false,"suffix":""},{"dropping-particle":"","family":"Fresco","given":"David M.","non-dropping-particle":"","parse-names":false,"suffix":""}],"container-title":"Perspectives on Psychological Science","id":"ITEM-1","issue":"5","issued":{"date-parts":[["2015"]]},"page":"599-617","title":"Decentering and Related Constructs: A Critical Review and Metacognitive Processes Model","type":"article-journal","volume":"10"},"uris":["http://www.mendeley.com/documents/?uuid=9c560acf-a58f-4681-be8d-61f366b7456d"]}],"mendeley":{"formattedCitation":"&lt;sup&gt;6&lt;/sup&gt;","plainTextFormattedCitation":"6","previouslyFormattedCitation":"&lt;sup&gt;6&lt;/sup&gt;"},"properties":{"noteIndex":0},"schema":"https://github.com/citation-style-language/schema/raw/master/csl-citation.json"}</w:instrText>
      </w:r>
      <w:r w:rsidR="006606C7">
        <w:fldChar w:fldCharType="separate"/>
      </w:r>
      <w:r w:rsidR="00D5401E" w:rsidRPr="00D5401E">
        <w:rPr>
          <w:noProof/>
          <w:vertAlign w:val="superscript"/>
        </w:rPr>
        <w:t>6</w:t>
      </w:r>
      <w:r w:rsidR="006606C7">
        <w:fldChar w:fldCharType="end"/>
      </w:r>
      <w:r w:rsidR="00ED34CF">
        <w:t xml:space="preserve"> as a related marker of cognitive vulnerability</w:t>
      </w:r>
      <w:r w:rsidR="006606C7">
        <w:t xml:space="preserve"> </w:t>
      </w:r>
      <w:r w:rsidR="006606C7">
        <w:fldChar w:fldCharType="begin" w:fldLock="1"/>
      </w:r>
      <w:r w:rsidR="00D5401E">
        <w:instrText>ADDIN CSL_CITATION {"citationItems":[{"id":"ITEM-1","itemData":{"DOI":"10.1016/j.beth.2013.09.001","ISBN":"0005-7894","ISSN":"00057894","PMID":"24411117","abstract":"Acceptance and Commitment Therapy (ACT) emphasizes the relationship a person has with their thoughts and beliefs as potentially more relevant than belief content in predicting the emotional and behavioral consequences of cognition. In ACT, \"defusion\" interventions aim to \"unhook\" thoughts from actions and to create psychological distance between a person and their thoughts, beliefs, memories, and self-stories. A number of similar concepts have been described in the psychology literature (e.g., decentering, metacognition, mentalization, and mindfulness) suggesting converging evidence that how we relate to mental events may be of critical importance. While there are some good measures of these related processes, none of them provides an adequate operationalization of cognitive fusion. Despite the centrality of cognitive fusion in the ACT model, there is as yet no agreed-upon measure of cognitive fusion. This paper presents the construction and development of a brief, self-report measure of cognitive fusion: The Cognitive Fusion Questionnaire (CFQ). The results of a series of studies involving over 1,800 people across diverse samples show good preliminary evidence of the CFQ's factor structure, reliability, temporal stability, validity, discriminant validity, and sensitivity to treatment effects. The potential uses of the CFQ in research and clinical practice are outlined. © 2013.","author":[{"dropping-particle":"","family":"Gillanders","given":"David T.","non-dropping-particle":"","parse-names":false,"suffix":""},{"dropping-particle":"","family":"Bolderston","given":"Helen","non-dropping-particle":"","parse-names":false,"suffix":""},{"dropping-particle":"","family":"Bond","given":"Frank W.","non-dropping-particle":"","parse-names":false,"suffix":""},{"dropping-particle":"","family":"Dempster","given":"Maria","non-dropping-particle":"","parse-names":false,"suffix":""},{"dropping-particle":"","family":"Flaxman","given":"Paul E.","non-dropping-particle":"","parse-names":false,"suffix":""},{"dropping-particle":"","family":"Campbell","given":"Lindsey","non-dropping-particle":"","parse-names":false,"suffix":""},{"dropping-particle":"","family":"Kerr","given":"Sian","non-dropping-particle":"","parse-names":false,"suffix":""},{"dropping-particle":"","family":"Tansey","given":"Louise","non-dropping-particle":"","parse-names":false,"suffix":""},{"dropping-particle":"","family":"Noel","given":"Penelope","non-dropping-particle":"","parse-names":false,"suffix":""},{"dropping-particle":"","family":"Ferenbach","given":"Clive","non-dropping-particle":"","parse-names":false,"suffix":""},{"dropping-particle":"","family":"Masley","given":"Samantha","non-dropping-particle":"","parse-names":false,"suffix":""},{"dropping-particle":"","family":"Roach","given":"Louise","non-dropping-particle":"","parse-names":false,"suffix":""},{"dropping-particle":"","family":"Lloyd","given":"Joda","non-dropping-particle":"","parse-names":false,"suffix":""},{"dropping-particle":"","family":"May","given":"Lauraine","non-dropping-particle":"","parse-names":false,"suffix":""},{"dropping-particle":"","family":"Clarke","given":"Susan","non-dropping-particle":"","parse-names":false,"suffix":""},{"dropping-particle":"","family":"Remington","given":"Bob","non-dropping-particle":"","parse-names":false,"suffix":""}],"container-title":"Behavior Therapy","id":"ITEM-1","issue":"1","issued":{"date-parts":[["2014"]]},"page":"83-101","publisher":"Elsevier B.V.","title":"The Development and Initial Validation of the Cognitive Fusion Questionnaire","type":"article-journal","volume":"45"},"uris":["http://www.mendeley.com/documents/?uuid=de7f4534-2259-40a4-99da-0e23d1b3e686"]}],"mendeley":{"formattedCitation":"&lt;sup&gt;7&lt;/sup&gt;","plainTextFormattedCitation":"7","previouslyFormattedCitation":"&lt;sup&gt;7&lt;/sup&gt;"},"properties":{"noteIndex":0},"schema":"https://github.com/citation-style-language/schema/raw/master/csl-citation.json"}</w:instrText>
      </w:r>
      <w:r w:rsidR="006606C7">
        <w:fldChar w:fldCharType="separate"/>
      </w:r>
      <w:r w:rsidR="00D5401E" w:rsidRPr="00D5401E">
        <w:rPr>
          <w:noProof/>
          <w:vertAlign w:val="superscript"/>
        </w:rPr>
        <w:t>7</w:t>
      </w:r>
      <w:r w:rsidR="006606C7">
        <w:fldChar w:fldCharType="end"/>
      </w:r>
      <w:r w:rsidR="00ED34CF">
        <w:t>. Findings for cognitive fusion were nearly identical to those reported for other measured forms of cognitive vulnerability (brooding, repetitive negative thinking). For brevity, we thus report findings for cognitive fusion in the supplement only.</w:t>
      </w:r>
    </w:p>
    <w:p w14:paraId="57676CAC" w14:textId="31F1A565" w:rsidR="005013DC" w:rsidRDefault="00CA1854" w:rsidP="00354C6E">
      <w:r w:rsidRPr="008416BC">
        <w:rPr>
          <w:rStyle w:val="Heading3Char"/>
        </w:rPr>
        <w:lastRenderedPageBreak/>
        <w:t>Cognitive Fusion Questionnaire (CFQ)</w:t>
      </w:r>
      <w:r w:rsidR="006606C7" w:rsidRPr="008416BC">
        <w:rPr>
          <w:rStyle w:val="Heading3Char"/>
          <w:vertAlign w:val="superscript"/>
        </w:rPr>
        <w:fldChar w:fldCharType="begin" w:fldLock="1"/>
      </w:r>
      <w:r w:rsidR="00D5401E" w:rsidRPr="008416BC">
        <w:rPr>
          <w:rStyle w:val="Heading3Char"/>
          <w:vertAlign w:val="superscript"/>
        </w:rPr>
        <w:instrText>ADDIN CSL_CITATION {"citationItems":[{"id":"ITEM-1","itemData":{"DOI":"10.1016/j.beth.2013.09.001","ISBN":"0005-7894","ISSN":"00057894","PMID":"24411117","abstract":"Acceptance and Commitment Therapy (ACT) emphasizes the relationship a person has with their thoughts and beliefs as potentially more relevant than belief content in predicting the emotional and behavioral consequences of cognition. In ACT, \"defusion\" interventions aim to \"unhook\" thoughts from actions and to create psychological distance between a person and their thoughts, beliefs, memories, and self-stories. A number of similar concepts have been described in the psychology literature (e.g., decentering, metacognition, mentalization, and mindfulness) suggesting converging evidence that how we relate to mental events may be of critical importance. While there are some good measures of these related processes, none of them provides an adequate operationalization of cognitive fusion. Despite the centrality of cognitive fusion in the ACT model, there is as yet no agreed-upon measure of cognitive fusion. This paper presents the construction and development of a brief, self-report measure of cognitive fusion: The Cognitive Fusion Questionnaire (CFQ). The results of a series of studies involving over 1,800 people across diverse samples show good preliminary evidence of the CFQ's factor structure, reliability, temporal stability, validity, discriminant validity, and sensitivity to treatment effects. The potential uses of the CFQ in research and clinical practice are outlined. © 2013.","author":[{"dropping-particle":"","family":"Gillanders","given":"David T.","non-dropping-particle":"","parse-names":false,"suffix":""},{"dropping-particle":"","family":"Bolderston","given":"Helen","non-dropping-particle":"","parse-names":false,"suffix":""},{"dropping-particle":"","family":"Bond","given":"Frank W.","non-dropping-particle":"","parse-names":false,"suffix":""},{"dropping-particle":"","family":"Dempster","given":"Maria","non-dropping-particle":"","parse-names":false,"suffix":""},{"dropping-particle":"","family":"Flaxman","given":"Paul E.","non-dropping-particle":"","parse-names":false,"suffix":""},{"dropping-particle":"","family":"Campbell","given":"Lindsey","non-dropping-particle":"","parse-names":false,"suffix":""},{"dropping-particle":"","family":"Kerr","given":"Sian","non-dropping-particle":"","parse-names":false,"suffix":""},{"dropping-particle":"","family":"Tansey","given":"Louise","non-dropping-particle":"","parse-names":false,"suffix":""},{"dropping-particle":"","family":"Noel","given":"Penelope","non-dropping-particle":"","parse-names":false,"suffix":""},{"dropping-particle":"","family":"Ferenbach","given":"Clive","non-dropping-particle":"","parse-names":false,"suffix":""},{"dropping-particle":"","family":"Masley","given":"Samantha","non-dropping-particle":"","parse-names":false,"suffix":""},{"dropping-particle":"","family":"Roach","given":"Louise","non-dropping-particle":"","parse-names":false,"suffix":""},{"dropping-particle":"","family":"Lloyd","given":"Joda","non-dropping-particle":"","parse-names":false,"suffix":""},{"dropping-particle":"","family":"May","given":"Lauraine","non-dropping-particle":"","parse-names":false,"suffix":""},{"dropping-particle":"","family":"Clarke","given":"Susan","non-dropping-particle":"","parse-names":false,"suffix":""},{"dropping-particle":"","family":"Remington","given":"Bob","non-dropping-particle":"","parse-names":false,"suffix":""}],"container-title":"Behavior Therapy","id":"ITEM-1","issue":"1","issued":{"date-parts":[["2014"]]},"page":"83-101","publisher":"Elsevier B.V.","title":"The Development and Initial Validation of the Cognitive Fusion Questionnaire","type":"article-journal","volume":"45"},"uris":["http://www.mendeley.com/documents/?uuid=de7f4534-2259-40a4-99da-0e23d1b3e686"]}],"mendeley":{"formattedCitation":"&lt;sup&gt;7&lt;/sup&gt;","plainTextFormattedCitation":"7","previouslyFormattedCitation":"&lt;sup&gt;7&lt;/sup&gt;"},"properties":{"noteIndex":0},"schema":"https://github.com/citation-style-language/schema/raw/master/csl-citation.json"}</w:instrText>
      </w:r>
      <w:r w:rsidR="006606C7" w:rsidRPr="008416BC">
        <w:rPr>
          <w:rStyle w:val="Heading3Char"/>
          <w:vertAlign w:val="superscript"/>
        </w:rPr>
        <w:fldChar w:fldCharType="separate"/>
      </w:r>
      <w:r w:rsidR="00D5401E" w:rsidRPr="008416BC">
        <w:rPr>
          <w:rStyle w:val="Heading3Char"/>
          <w:vertAlign w:val="superscript"/>
        </w:rPr>
        <w:t>7</w:t>
      </w:r>
      <w:r w:rsidR="006606C7" w:rsidRPr="008416BC">
        <w:rPr>
          <w:rStyle w:val="Heading3Char"/>
          <w:vertAlign w:val="superscript"/>
        </w:rPr>
        <w:fldChar w:fldCharType="end"/>
      </w:r>
      <w:r w:rsidRPr="00EC5D4A">
        <w:t>.</w:t>
      </w:r>
      <w:r w:rsidRPr="00304A6D">
        <w:t xml:space="preserve"> The CFQ</w:t>
      </w:r>
      <w:r>
        <w:t xml:space="preserve"> is 7-item self-report measure in which participants rate on a 7-point Likert-type scale (1 = "</w:t>
      </w:r>
      <w:r w:rsidRPr="00F9603A">
        <w:t>Never true</w:t>
      </w:r>
      <w:r>
        <w:t>" to 7 = "</w:t>
      </w:r>
      <w:r w:rsidRPr="00F9603A">
        <w:t>Always true</w:t>
      </w:r>
      <w:r>
        <w:t>") statements that reflect cognitive fusion – "the tendency for behavior to be overly regulated and influenced by cognition"</w:t>
      </w:r>
      <w:r w:rsidR="006606C7">
        <w:t xml:space="preserve"> </w:t>
      </w:r>
      <w:r w:rsidR="006606C7">
        <w:fldChar w:fldCharType="begin" w:fldLock="1"/>
      </w:r>
      <w:r w:rsidR="00D5401E">
        <w:instrText>ADDIN CSL_CITATION {"citationItems":[{"id":"ITEM-1","itemData":{"DOI":"10.1016/j.beth.2013.09.001","ISBN":"0005-7894","ISSN":"00057894","PMID":"24411117","abstract":"Acceptance and Commitment Therapy (ACT) emphasizes the relationship a person has with their thoughts and beliefs as potentially more relevant than belief content in predicting the emotional and behavioral consequences of cognition. In ACT, \"defusion\" interventions aim to \"unhook\" thoughts from actions and to create psychological distance between a person and their thoughts, beliefs, memories, and self-stories. A number of similar concepts have been described in the psychology literature (e.g., decentering, metacognition, mentalization, and mindfulness) suggesting converging evidence that how we relate to mental events may be of critical importance. While there are some good measures of these related processes, none of them provides an adequate operationalization of cognitive fusion. Despite the centrality of cognitive fusion in the ACT model, there is as yet no agreed-upon measure of cognitive fusion. This paper presents the construction and development of a brief, self-report measure of cognitive fusion: The Cognitive Fusion Questionnaire (CFQ). The results of a series of studies involving over 1,800 people across diverse samples show good preliminary evidence of the CFQ's factor structure, reliability, temporal stability, validity, discriminant validity, and sensitivity to treatment effects. The potential uses of the CFQ in research and clinical practice are outlined. © 2013.","author":[{"dropping-particle":"","family":"Gillanders","given":"David T.","non-dropping-particle":"","parse-names":false,"suffix":""},{"dropping-particle":"","family":"Bolderston","given":"Helen","non-dropping-particle":"","parse-names":false,"suffix":""},{"dropping-particle":"","family":"Bond","given":"Frank W.","non-dropping-particle":"","parse-names":false,"suffix":""},{"dropping-particle":"","family":"Dempster","given":"Maria","non-dropping-particle":"","parse-names":false,"suffix":""},{"dropping-particle":"","family":"Flaxman","given":"Paul E.","non-dropping-particle":"","parse-names":false,"suffix":""},{"dropping-particle":"","family":"Campbell","given":"Lindsey","non-dropping-particle":"","parse-names":false,"suffix":""},{"dropping-particle":"","family":"Kerr","given":"Sian","non-dropping-particle":"","parse-names":false,"suffix":""},{"dropping-particle":"","family":"Tansey","given":"Louise","non-dropping-particle":"","parse-names":false,"suffix":""},{"dropping-particle":"","family":"Noel","given":"Penelope","non-dropping-particle":"","parse-names":false,"suffix":""},{"dropping-particle":"","family":"Ferenbach","given":"Clive","non-dropping-particle":"","parse-names":false,"suffix":""},{"dropping-particle":"","family":"Masley","given":"Samantha","non-dropping-particle":"","parse-names":false,"suffix":""},{"dropping-particle":"","family":"Roach","given":"Louise","non-dropping-particle":"","parse-names":false,"suffix":""},{"dropping-particle":"","family":"Lloyd","given":"Joda","non-dropping-particle":"","parse-names":false,"suffix":""},{"dropping-particle":"","family":"May","given":"Lauraine","non-dropping-particle":"","parse-names":false,"suffix":""},{"dropping-particle":"","family":"Clarke","given":"Susan","non-dropping-particle":"","parse-names":false,"suffix":""},{"dropping-particle":"","family":"Remington","given":"Bob","non-dropping-particle":"","parse-names":false,"suffix":""}],"container-title":"Behavior Therapy","id":"ITEM-1","issue":"1","issued":{"date-parts":[["2014"]]},"page":"83-101","publisher":"Elsevier B.V.","title":"The Development and Initial Validation of the Cognitive Fusion Questionnaire","type":"article-journal","volume":"45"},"uris":["http://www.mendeley.com/documents/?uuid=de7f4534-2259-40a4-99da-0e23d1b3e686"]}],"mendeley":{"formattedCitation":"&lt;sup&gt;7&lt;/sup&gt;","plainTextFormattedCitation":"7","previouslyFormattedCitation":"&lt;sup&gt;7&lt;/sup&gt;"},"properties":{"noteIndex":0},"schema":"https://github.com/citation-style-language/schema/raw/master/csl-citation.json"}</w:instrText>
      </w:r>
      <w:r w:rsidR="006606C7">
        <w:fldChar w:fldCharType="separate"/>
      </w:r>
      <w:r w:rsidR="00D5401E" w:rsidRPr="00D5401E">
        <w:rPr>
          <w:noProof/>
          <w:vertAlign w:val="superscript"/>
        </w:rPr>
        <w:t>7</w:t>
      </w:r>
      <w:r w:rsidR="006606C7">
        <w:fldChar w:fldCharType="end"/>
      </w:r>
      <w:r>
        <w:t xml:space="preserve">. The CFQ </w:t>
      </w:r>
      <w:r w:rsidR="009A40CA">
        <w:t>has been conceptualized as a measure of degree of</w:t>
      </w:r>
      <w:r>
        <w:t xml:space="preserve"> reactivity to thought content</w:t>
      </w:r>
      <w:r w:rsidR="006606C7">
        <w:t xml:space="preserve"> </w:t>
      </w:r>
      <w:r w:rsidR="006606C7">
        <w:fldChar w:fldCharType="begin" w:fldLock="1"/>
      </w:r>
      <w:r w:rsidR="00D5401E">
        <w:instrText>ADDIN CSL_CITATION {"citationItems":[{"id":"ITEM-1","itemData":{"DOI":"10.1177/1745691615594577","ISBN":"9788578110796","ISSN":"17456924","PMID":"26385999","abstract":"The capacity to shift experiential perspective – from within one’s subjective experience, onto that experience – is fundamental to being human. Scholars have long theorized that this metacognitive capacity – that we refer to as decentering – may play an important role in mental health. To help illuminate this mental phenomenon and its links to mental health, we critically examine decentering-related constructs and their respective literatures (e.g., self-distanced perspective, cognitive distancing, cognitive defusion). First, we introduce a novel meta-cognitive processes model of decentering. Specifically, we propose that, to varying degrees, decenteringrelated constructs reflect a common mental phenomenon sub-served by three inter-related metacognitive processes: meta-awareness, disidentification from internal experience, and reducedreactivity to thought content. Second, we examine extant research linking decentering-related constructs and their underlying meta-cognitive processes to mental health. We conclude by proposing future directions for research that transcends decentering-related constructs in an effort to advance the field’s understanding of this facet of human experience and its role in (mal)adaptation.","author":[{"dropping-particle":"","family":"Bernstein","given":"Amit","non-dropping-particle":"","parse-names":false,"suffix":""},{"dropping-particle":"","family":"Hadash","given":"Yuval","non-dropping-particle":"","parse-names":false,"suffix":""},{"dropping-particle":"","family":"Lichtash","given":"Yael","non-dropping-particle":"","parse-names":false,"suffix":""},{"dropping-particle":"","family":"Tanay","given":"Galia","non-dropping-particle":"","parse-names":false,"suffix":""},{"dropping-particle":"","family":"Shepherd","given":"Kathrine","non-dropping-particle":"","parse-names":false,"suffix":""},{"dropping-particle":"","family":"Fresco","given":"David M.","non-dropping-particle":"","parse-names":false,"suffix":""}],"container-title":"Perspectives on Psychological Science","id":"ITEM-1","issue":"5","issued":{"date-parts":[["2015"]]},"page":"599-617","title":"Decentering and Related Constructs: A Critical Review and Metacognitive Processes Model","type":"article-journal","volume":"10"},"uris":["http://www.mendeley.com/documents/?uuid=9c560acf-a58f-4681-be8d-61f366b7456d"]}],"mendeley":{"formattedCitation":"&lt;sup&gt;6&lt;/sup&gt;","plainTextFormattedCitation":"6","previouslyFormattedCitation":"&lt;sup&gt;6&lt;/sup&gt;"},"properties":{"noteIndex":0},"schema":"https://github.com/citation-style-language/schema/raw/master/csl-citation.json"}</w:instrText>
      </w:r>
      <w:r w:rsidR="006606C7">
        <w:fldChar w:fldCharType="separate"/>
      </w:r>
      <w:r w:rsidR="00D5401E" w:rsidRPr="00D5401E">
        <w:rPr>
          <w:noProof/>
          <w:vertAlign w:val="superscript"/>
        </w:rPr>
        <w:t>6</w:t>
      </w:r>
      <w:r w:rsidR="006606C7">
        <w:fldChar w:fldCharType="end"/>
      </w:r>
      <w:r>
        <w:t>. The CFQ has demonstrated sound internal consistency and test-retest reliability</w:t>
      </w:r>
      <w:r w:rsidR="006606C7">
        <w:t xml:space="preserve"> </w:t>
      </w:r>
      <w:r w:rsidR="006606C7">
        <w:fldChar w:fldCharType="begin" w:fldLock="1"/>
      </w:r>
      <w:r w:rsidR="00D5401E">
        <w:instrText>ADDIN CSL_CITATION {"citationItems":[{"id":"ITEM-1","itemData":{"DOI":"10.1016/j.beth.2013.09.001","ISBN":"0005-7894","ISSN":"00057894","PMID":"24411117","abstract":"Acceptance and Commitment Therapy (ACT) emphasizes the relationship a person has with their thoughts and beliefs as potentially more relevant than belief content in predicting the emotional and behavioral consequences of cognition. In ACT, \"defusion\" interventions aim to \"unhook\" thoughts from actions and to create psychological distance between a person and their thoughts, beliefs, memories, and self-stories. A number of similar concepts have been described in the psychology literature (e.g., decentering, metacognition, mentalization, and mindfulness) suggesting converging evidence that how we relate to mental events may be of critical importance. While there are some good measures of these related processes, none of them provides an adequate operationalization of cognitive fusion. Despite the centrality of cognitive fusion in the ACT model, there is as yet no agreed-upon measure of cognitive fusion. This paper presents the construction and development of a brief, self-report measure of cognitive fusion: The Cognitive Fusion Questionnaire (CFQ). The results of a series of studies involving over 1,800 people across diverse samples show good preliminary evidence of the CFQ's factor structure, reliability, temporal stability, validity, discriminant validity, and sensitivity to treatment effects. The potential uses of the CFQ in research and clinical practice are outlined. © 2013.","author":[{"dropping-particle":"","family":"Gillanders","given":"David T.","non-dropping-particle":"","parse-names":false,"suffix":""},{"dropping-particle":"","family":"Bolderston","given":"Helen","non-dropping-particle":"","parse-names":false,"suffix":""},{"dropping-particle":"","family":"Bond","given":"Frank W.","non-dropping-particle":"","parse-names":false,"suffix":""},{"dropping-particle":"","family":"Dempster","given":"Maria","non-dropping-particle":"","parse-names":false,"suffix":""},{"dropping-particle":"","family":"Flaxman","given":"Paul E.","non-dropping-particle":"","parse-names":false,"suffix":""},{"dropping-particle":"","family":"Campbell","given":"Lindsey","non-dropping-particle":"","parse-names":false,"suffix":""},{"dropping-particle":"","family":"Kerr","given":"Sian","non-dropping-particle":"","parse-names":false,"suffix":""},{"dropping-particle":"","family":"Tansey","given":"Louise","non-dropping-particle":"","parse-names":false,"suffix":""},{"dropping-particle":"","family":"Noel","given":"Penelope","non-dropping-particle":"","parse-names":false,"suffix":""},{"dropping-particle":"","family":"Ferenbach","given":"Clive","non-dropping-particle":"","parse-names":false,"suffix":""},{"dropping-particle":"","family":"Masley","given":"Samantha","non-dropping-particle":"","parse-names":false,"suffix":""},{"dropping-particle":"","family":"Roach","given":"Louise","non-dropping-particle":"","parse-names":false,"suffix":""},{"dropping-particle":"","family":"Lloyd","given":"Joda","non-dropping-particle":"","parse-names":false,"suffix":""},{"dropping-particle":"","family":"May","given":"Lauraine","non-dropping-particle":"","parse-names":false,"suffix":""},{"dropping-particle":"","family":"Clarke","given":"Susan","non-dropping-particle":"","parse-names":false,"suffix":""},{"dropping-particle":"","family":"Remington","given":"Bob","non-dropping-particle":"","parse-names":false,"suffix":""}],"container-title":"Behavior Therapy","id":"ITEM-1","issue":"1","issued":{"date-parts":[["2014"]]},"page":"83-101","publisher":"Elsevier B.V.","title":"The Development and Initial Validation of the Cognitive Fusion Questionnaire","type":"article-journal","volume":"45"},"uris":["http://www.mendeley.com/documents/?uuid=de7f4534-2259-40a4-99da-0e23d1b3e686"]},{"id":"ITEM-2","itemData":{"DOI":"10.1037/pas0000300","ISBN":"1040-3590","ISSN":"1939134X","PMID":"27078181","abstract":"We propose that Experiential Self-Referential Processing (ESRP)-the cognitive association of present moment subjective experience (e.g., sensations, emotions, thoughts) with the self-underlies various forms of maladaptation. We theorize that mindfulness contributes to mental health by engendering Experiential Selfless Processing (ESLP)-processing present moment subjective experience without self-referentiality. To help advance understanding of these processes we aimed to develop an implicit, behavioral measure of ESRP and ESLP of fear, to experimentally validate this measure, and to test the relations between ESRP and ESLP of fear, mindfulness, and key psychobehavioral processes underlying (mal)adaptation. One hundred 38 adults were randomized to 1 of 3 conditions: control, meta-awareness with identification, or meta-awareness with disidentification. We then measured ESRP and ESLP of fear by experimentally eliciting a subjective experience of fear, while concurrently measuring participants' cognitive association between her/himself and fear by means of a Single Category Implicit Association Test; we refer to this measurement as the Single Experience &amp; Self Implicit Association Test (SES-IAT). We found preliminary experimental and correlational evidence suggesting the fear SES-IAT measures ESLP of fear and 2 forms of ESRP- identification with fear and negative self-referential evaluation of fear. Furthermore, we found evidence that ESRP and ESLP are associated with meta-awareness (a core process of mindfulness), as well as key psychobehavioral processes underlying (mal)adaptation. These findings indicate that the cognitive association of self with experience (i.e., ESRP) may be an important substrate of the sense of self, and an important determinant of mental health. (PsycINFO Database Record","author":[{"dropping-particle":"","family":"Hadash","given":"Yuval","non-dropping-particle":"","parse-names":false,"suffix":""},{"dropping-particle":"","family":"Plonsker","given":"Reut","non-dropping-particle":"","parse-names":false,"suffix":""},{"dropping-particle":"","family":"Vago","given":"David R.","non-dropping-particle":"","parse-names":false,"suffix":""},{"dropping-particle":"","family":"Bernstein","given":"Amit","non-dropping-particle":"","parse-names":false,"suffix":""}],"container-title":"Psychological Assessment","id":"ITEM-2","issue":"7","issued":{"date-parts":[["2016"]]},"page":"856-869","title":"Experiential self-referential and selfless processing in mindfulness and mental health: Conceptual model and implicit measurement methodology","type":"article-journal","volume":"28"},"uris":["http://www.mendeley.com/documents/?uuid=1de58460-8568-472f-8e88-3eac0a1a88c1"]}],"mendeley":{"formattedCitation":"&lt;sup&gt;7,8&lt;/sup&gt;","plainTextFormattedCitation":"7,8","previouslyFormattedCitation":"&lt;sup&gt;7,8&lt;/sup&gt;"},"properties":{"noteIndex":0},"schema":"https://github.com/citation-style-language/schema/raw/master/csl-citation.json"}</w:instrText>
      </w:r>
      <w:r w:rsidR="006606C7">
        <w:fldChar w:fldCharType="separate"/>
      </w:r>
      <w:r w:rsidR="00D5401E" w:rsidRPr="00D5401E">
        <w:rPr>
          <w:noProof/>
          <w:vertAlign w:val="superscript"/>
        </w:rPr>
        <w:t>7,8</w:t>
      </w:r>
      <w:r w:rsidR="006606C7">
        <w:fldChar w:fldCharType="end"/>
      </w:r>
      <w:r>
        <w:t>.</w:t>
      </w:r>
      <w:r w:rsidR="00ED34CF" w:rsidDel="00ED34CF">
        <w:t xml:space="preserve"> </w:t>
      </w:r>
    </w:p>
    <w:p w14:paraId="2F24BD6F" w14:textId="71DB3584" w:rsidR="00805BB2" w:rsidRPr="005D36F6" w:rsidRDefault="00805BB2">
      <w:pPr>
        <w:rPr>
          <w:i/>
          <w:iCs/>
        </w:rPr>
      </w:pPr>
      <w:r>
        <w:rPr>
          <w:rStyle w:val="Heading3Char"/>
        </w:rPr>
        <w:t>STP Identification and Similarity ratings</w:t>
      </w:r>
      <w:r w:rsidRPr="00EC5D4A">
        <w:t>.</w:t>
      </w:r>
      <w:r w:rsidRPr="00304A6D">
        <w:t xml:space="preserve"> </w:t>
      </w:r>
      <w:r>
        <w:t>In Study 2, participants were asked to report at the very end of the experiment</w:t>
      </w:r>
      <w:r w:rsidR="005402EC">
        <w:t>,</w:t>
      </w:r>
      <w:r>
        <w:t xml:space="preserve"> </w:t>
      </w:r>
      <w:r w:rsidRPr="00E15C94">
        <w:t>“</w:t>
      </w:r>
      <w:r>
        <w:t>To what degree were the sentences you heard similar to thoughts that pass through your mind?</w:t>
      </w:r>
      <w:r w:rsidRPr="00E15C94">
        <w:t>”</w:t>
      </w:r>
      <w:r>
        <w:t xml:space="preserve"> (similarity) and </w:t>
      </w:r>
      <w:r w:rsidRPr="00E15C94">
        <w:t>“</w:t>
      </w:r>
      <w:r>
        <w:t>To what degree did you feel that you identified with the sentences you heard?</w:t>
      </w:r>
      <w:r w:rsidRPr="00E15C94">
        <w:t>”</w:t>
      </w:r>
      <w:r>
        <w:t xml:space="preserve"> (identification). Both questions were </w:t>
      </w:r>
      <w:r w:rsidR="005402EC">
        <w:t>rated</w:t>
      </w:r>
      <w:r>
        <w:t xml:space="preserve"> a scale of 1 (“Not at all”) to 10 (“Very much”). </w:t>
      </w:r>
      <w:r w:rsidR="005402EC">
        <w:t xml:space="preserve">We collected these data among N = 57 participants. </w:t>
      </w:r>
    </w:p>
    <w:p w14:paraId="15C79A8B" w14:textId="10F79F30" w:rsidR="00E66FF7" w:rsidRDefault="000A3512" w:rsidP="00354C6E">
      <w:pPr>
        <w:pStyle w:val="Heading2"/>
        <w:rPr>
          <w:lang w:eastAsia="he-IL"/>
        </w:rPr>
      </w:pPr>
      <w:r>
        <w:rPr>
          <w:lang w:eastAsia="he-IL"/>
        </w:rPr>
        <w:t>Instruments</w:t>
      </w:r>
    </w:p>
    <w:p w14:paraId="4A4AEB6F" w14:textId="1C675907" w:rsidR="00E66FF7" w:rsidRDefault="00E66FF7" w:rsidP="00354C6E">
      <w:r w:rsidRPr="00354C6E">
        <w:rPr>
          <w:rStyle w:val="Heading3Char"/>
        </w:rPr>
        <w:t>Software.</w:t>
      </w:r>
      <w:r>
        <w:rPr>
          <w:b/>
          <w:bCs/>
          <w:i/>
          <w:lang w:eastAsia="he-IL"/>
        </w:rPr>
        <w:t xml:space="preserve"> </w:t>
      </w:r>
      <w:r>
        <w:rPr>
          <w:lang w:eastAsia="he-IL"/>
        </w:rPr>
        <w:t>On-line (home) questionnaire battery was delivered via Qualtrics. The lab procedure was administered via MATLAB, except behavioral tasks (</w:t>
      </w:r>
      <w:r w:rsidR="0018316C">
        <w:rPr>
          <w:rFonts w:hint="cs"/>
          <w:lang w:eastAsia="he-IL"/>
        </w:rPr>
        <w:t>D</w:t>
      </w:r>
      <w:r w:rsidR="0018316C">
        <w:rPr>
          <w:lang w:eastAsia="he-IL"/>
        </w:rPr>
        <w:t>igit Categorization Task</w:t>
      </w:r>
      <w:r>
        <w:rPr>
          <w:lang w:eastAsia="he-IL"/>
        </w:rPr>
        <w:t xml:space="preserve">, </w:t>
      </w:r>
      <w:r w:rsidR="0018316C">
        <w:rPr>
          <w:lang w:eastAsia="he-IL"/>
        </w:rPr>
        <w:t>Emotional reactivity</w:t>
      </w:r>
      <w:r>
        <w:rPr>
          <w:lang w:eastAsia="he-IL"/>
        </w:rPr>
        <w:t>) which were run in E-Prime 2</w:t>
      </w:r>
      <w:r w:rsidR="008416BC">
        <w:rPr>
          <w:lang w:eastAsia="he-IL"/>
        </w:rPr>
        <w:t xml:space="preserve"> in Study 1</w:t>
      </w:r>
      <w:r>
        <w:rPr>
          <w:lang w:eastAsia="he-IL"/>
        </w:rPr>
        <w:t>. Audio was edited using Audacity 2.1.2</w:t>
      </w:r>
      <w:r w:rsidR="00CC2164">
        <w:rPr>
          <w:lang w:eastAsia="he-IL"/>
        </w:rPr>
        <w:t xml:space="preserve"> </w:t>
      </w:r>
      <w:r w:rsidR="00CC2164">
        <w:rPr>
          <w:lang w:eastAsia="he-IL"/>
        </w:rPr>
        <w:fldChar w:fldCharType="begin" w:fldLock="1"/>
      </w:r>
      <w:r w:rsidR="00D5401E">
        <w:rPr>
          <w:lang w:eastAsia="he-IL"/>
        </w:rPr>
        <w:instrText>ADDIN CSL_CITATION {"citationItems":[{"id":"ITEM-1","itemData":{"author":[{"dropping-particle":"","family":"Audacity","given":"Team","non-dropping-particle":"","parse-names":false,"suffix":""}],"id":"ITEM-1","issued":{"date-parts":[["2017"]]},"number":"2.1.2","title":"Audacity®","type":"article"},"uris":["http://www.mendeley.com/documents/?uuid=3eac476c-86fb-4e1d-98c3-e16743bd77a8"]}],"mendeley":{"formattedCitation":"&lt;sup&gt;9&lt;/sup&gt;","plainTextFormattedCitation":"9","previouslyFormattedCitation":"&lt;sup&gt;9&lt;/sup&gt;"},"properties":{"noteIndex":0},"schema":"https://github.com/citation-style-language/schema/raw/master/csl-citation.json"}</w:instrText>
      </w:r>
      <w:r w:rsidR="00CC2164">
        <w:rPr>
          <w:lang w:eastAsia="he-IL"/>
        </w:rPr>
        <w:fldChar w:fldCharType="separate"/>
      </w:r>
      <w:r w:rsidR="00D5401E" w:rsidRPr="00D5401E">
        <w:rPr>
          <w:noProof/>
          <w:vertAlign w:val="superscript"/>
          <w:lang w:eastAsia="he-IL"/>
        </w:rPr>
        <w:t>9</w:t>
      </w:r>
      <w:r w:rsidR="00CC2164">
        <w:rPr>
          <w:lang w:eastAsia="he-IL"/>
        </w:rPr>
        <w:fldChar w:fldCharType="end"/>
      </w:r>
      <w:r>
        <w:rPr>
          <w:lang w:eastAsia="he-IL"/>
        </w:rPr>
        <w:t xml:space="preserve">. </w:t>
      </w:r>
      <w:r>
        <w:rPr>
          <w:b/>
          <w:bCs/>
          <w:i/>
          <w:lang w:eastAsia="he-IL"/>
        </w:rPr>
        <w:t>Monitor.</w:t>
      </w:r>
      <w:r>
        <w:rPr>
          <w:lang w:eastAsia="he-IL"/>
        </w:rPr>
        <w:t xml:space="preserve"> Displayed on Samsung S23A950D at 100hz. </w:t>
      </w:r>
      <w:r>
        <w:rPr>
          <w:b/>
          <w:bCs/>
          <w:i/>
          <w:lang w:eastAsia="he-IL"/>
        </w:rPr>
        <w:t>Participant Input.</w:t>
      </w:r>
      <w:r>
        <w:rPr>
          <w:lang w:eastAsia="he-IL"/>
        </w:rPr>
        <w:t xml:space="preserve"> Participant responses </w:t>
      </w:r>
      <w:r w:rsidR="00BA3645">
        <w:rPr>
          <w:lang w:eastAsia="he-IL"/>
        </w:rPr>
        <w:t>in</w:t>
      </w:r>
      <w:r>
        <w:rPr>
          <w:lang w:eastAsia="he-IL"/>
        </w:rPr>
        <w:t xml:space="preserve"> behavioral tasks were recorded using </w:t>
      </w:r>
      <w:r>
        <w:t xml:space="preserve">PST Serial Response Box. </w:t>
      </w:r>
      <w:r w:rsidRPr="00D1498F">
        <w:rPr>
          <w:b/>
          <w:bCs/>
          <w:i/>
        </w:rPr>
        <w:t>Audio.</w:t>
      </w:r>
      <w:r>
        <w:t xml:space="preserve"> </w:t>
      </w:r>
      <w:r w:rsidRPr="00D1498F">
        <w:t>In-ear microphones</w:t>
      </w:r>
      <w:r>
        <w:t xml:space="preserve">: Roland CS-10EM; Headphone: </w:t>
      </w:r>
      <w:proofErr w:type="spellStart"/>
      <w:r>
        <w:t>Senheisser</w:t>
      </w:r>
      <w:proofErr w:type="spellEnd"/>
      <w:r>
        <w:t xml:space="preserve"> PC-350; Sound card: ASUS </w:t>
      </w:r>
      <w:proofErr w:type="spellStart"/>
      <w:r>
        <w:t>Xonar</w:t>
      </w:r>
      <w:proofErr w:type="spellEnd"/>
      <w:r>
        <w:t xml:space="preserve"> U7.</w:t>
      </w:r>
    </w:p>
    <w:p w14:paraId="14A98173" w14:textId="77777777" w:rsidR="00354C6E" w:rsidRPr="005B3C79" w:rsidRDefault="00354C6E" w:rsidP="00354C6E">
      <w:pPr>
        <w:pStyle w:val="Heading2"/>
      </w:pPr>
      <w:r w:rsidRPr="000A3512">
        <w:t xml:space="preserve">Data </w:t>
      </w:r>
      <w:r>
        <w:t>p</w:t>
      </w:r>
      <w:r w:rsidRPr="000A3512">
        <w:t>reparation</w:t>
      </w:r>
    </w:p>
    <w:p w14:paraId="45D7E415" w14:textId="77777777" w:rsidR="00354C6E" w:rsidRDefault="00354C6E" w:rsidP="00354C6E">
      <w:r w:rsidRPr="009C2E33">
        <w:rPr>
          <w:rStyle w:val="Heading3Char"/>
        </w:rPr>
        <w:t>Digit categorization task (DCT).</w:t>
      </w:r>
      <w:r>
        <w:rPr>
          <w:b/>
          <w:bCs/>
        </w:rPr>
        <w:t xml:space="preserve"> </w:t>
      </w:r>
      <w:r>
        <w:t>Data was screened for inaccurate (</w:t>
      </w:r>
      <w:r>
        <w:rPr>
          <w:i/>
          <w:iCs/>
        </w:rPr>
        <w:t>M(SD)</w:t>
      </w:r>
      <w:r>
        <w:t xml:space="preserve"> = 1.25</w:t>
      </w:r>
      <w:r w:rsidRPr="00BB533E">
        <w:t>(3</w:t>
      </w:r>
      <w:r>
        <w:t>.</w:t>
      </w:r>
      <w:proofErr w:type="gramStart"/>
      <w:r>
        <w:t>16)%</w:t>
      </w:r>
      <w:proofErr w:type="gramEnd"/>
      <w:r>
        <w:t xml:space="preserve">) and outlier RTs 3 Standard Deviations (SD) from the mean of each </w:t>
      </w:r>
      <w:r>
        <w:lastRenderedPageBreak/>
        <w:t>participant's NEG-SR or NTR-SR conditions or RTs faster than 100ms (</w:t>
      </w:r>
      <w:r>
        <w:rPr>
          <w:i/>
          <w:iCs/>
        </w:rPr>
        <w:t>M(SD)</w:t>
      </w:r>
      <w:r>
        <w:t xml:space="preserve"> = 1.77(1.09)%)</w:t>
      </w:r>
      <w:r>
        <w:rPr>
          <w:rStyle w:val="FootnoteReference"/>
        </w:rPr>
        <w:footnoteReference w:id="1"/>
      </w:r>
      <w:r>
        <w:t>.</w:t>
      </w:r>
    </w:p>
    <w:p w14:paraId="592C01CD" w14:textId="77777777" w:rsidR="00354C6E" w:rsidRDefault="00354C6E" w:rsidP="00354C6E">
      <w:pPr>
        <w:pStyle w:val="Heading2"/>
      </w:pPr>
      <w:r>
        <w:t>Data analytic plan</w:t>
      </w:r>
    </w:p>
    <w:p w14:paraId="084DE8DF" w14:textId="282A1716" w:rsidR="00354C6E" w:rsidRPr="00EA082F" w:rsidRDefault="00354C6E" w:rsidP="00354C6E">
      <w:r>
        <w:t>As describe in the main manuscript, we tested study aims and predictions by examining specific paths within the serial mediation models. Here we report statistical details of findings only summarized in the Results of the main manuscript. In addition to these primary serial mediation models reported in the main manuscript, we also</w:t>
      </w:r>
      <w:r w:rsidR="000E59D7">
        <w:rPr>
          <w:rFonts w:hint="cs"/>
          <w:rtl/>
        </w:rPr>
        <w:t xml:space="preserve"> </w:t>
      </w:r>
      <w:r w:rsidR="000E59D7">
        <w:t xml:space="preserve">report </w:t>
      </w:r>
      <w:r>
        <w:t>tested alternative M2 predictor of Cognitive Fusion Questionnaire as a measure of reactivity to one’s thought content.</w:t>
      </w:r>
    </w:p>
    <w:p w14:paraId="74427D87" w14:textId="01933944" w:rsidR="00AF1643" w:rsidRDefault="00BE3084" w:rsidP="00354C6E">
      <w:pPr>
        <w:pStyle w:val="Heading1"/>
      </w:pPr>
      <w:r>
        <w:t>RESULTS</w:t>
      </w:r>
    </w:p>
    <w:p w14:paraId="25F9CA48" w14:textId="796EAAAA" w:rsidR="00354C6E" w:rsidRPr="00354C6E" w:rsidRDefault="00354C6E" w:rsidP="00354C6E">
      <w:pPr>
        <w:pStyle w:val="Heading2"/>
      </w:pPr>
      <w:r>
        <w:t>Study 1</w:t>
      </w:r>
    </w:p>
    <w:p w14:paraId="3CAAA6A9" w14:textId="1CA77B13" w:rsidR="00B8541D" w:rsidRPr="00F20436" w:rsidRDefault="00CF0E03" w:rsidP="00354C6E">
      <w:r w:rsidRPr="00354C6E">
        <w:rPr>
          <w:rStyle w:val="Heading3Char"/>
        </w:rPr>
        <w:t>Association between difficulty disengaging internal attention from negative self-referential thoughts and cognitive vulnerability</w:t>
      </w:r>
      <w:r w:rsidR="00354C6E" w:rsidRPr="00354C6E">
        <w:rPr>
          <w:rStyle w:val="Heading3Char"/>
        </w:rPr>
        <w:t>.</w:t>
      </w:r>
      <w:r w:rsidR="00354C6E">
        <w:t xml:space="preserve"> </w:t>
      </w:r>
      <w:r>
        <w:t xml:space="preserve">We tested the hypothesized association between difficulty disengaging internal attention from negative self-referential thoughts and problems with negative repetitive thinking. We examined the association between M1 </w:t>
      </w:r>
      <w:r w:rsidRPr="00F96275">
        <w:t xml:space="preserve">attentional </w:t>
      </w:r>
      <w:r>
        <w:t xml:space="preserve">interference, and separately dynamic facilitation and aggregated bias scores, </w:t>
      </w:r>
      <w:r w:rsidRPr="00690343">
        <w:t xml:space="preserve">and </w:t>
      </w:r>
      <w:r>
        <w:t>M2 mediator repetitive negative thinking, and separately brooding, worry</w:t>
      </w:r>
      <w:r w:rsidR="00D757AD">
        <w:t xml:space="preserve"> </w:t>
      </w:r>
      <w:r>
        <w:t xml:space="preserve">– i.e., path </w:t>
      </w:r>
      <w:r>
        <w:rPr>
          <w:i/>
          <w:iCs/>
        </w:rPr>
        <w:t>d</w:t>
      </w:r>
      <w:r w:rsidRPr="00F96275">
        <w:rPr>
          <w:vertAlign w:val="subscript"/>
        </w:rPr>
        <w:t>21</w:t>
      </w:r>
      <w:r w:rsidR="00B8541D">
        <w:t>; with negative emotional reactivity as predictor</w:t>
      </w:r>
      <w:r>
        <w:t xml:space="preserve">. As predicted, internal </w:t>
      </w:r>
      <w:r w:rsidRPr="00690343">
        <w:t xml:space="preserve">attentional </w:t>
      </w:r>
      <w:r w:rsidRPr="00F96275">
        <w:t>interference score</w:t>
      </w:r>
      <w:r w:rsidRPr="00690343">
        <w:t xml:space="preserve"> </w:t>
      </w:r>
      <w:r>
        <w:t xml:space="preserve">was significantly associated with repetitive negative thinking </w:t>
      </w:r>
      <w:r w:rsidRPr="00CF0E03">
        <w:t>as well as brooding</w:t>
      </w:r>
      <w:r w:rsidR="00AF1643">
        <w:t xml:space="preserve"> (see Main Manuscript);</w:t>
      </w:r>
      <w:r w:rsidRPr="00CF0E03">
        <w:t xml:space="preserve"> and cognitive fusion</w:t>
      </w:r>
      <w:r w:rsidRPr="00CF0E03">
        <w:rPr>
          <w:i/>
          <w:iCs/>
        </w:rPr>
        <w:t xml:space="preserve"> </w:t>
      </w:r>
      <w:r w:rsidRPr="00CF0E03">
        <w:t>(</w:t>
      </w:r>
      <w:proofErr w:type="spellStart"/>
      <w:r w:rsidRPr="00CF0E03">
        <w:rPr>
          <w:i/>
          <w:iCs/>
        </w:rPr>
        <w:t>Coeff</w:t>
      </w:r>
      <w:proofErr w:type="spellEnd"/>
      <w:r w:rsidRPr="00CF0E03">
        <w:rPr>
          <w:i/>
          <w:iCs/>
        </w:rPr>
        <w:t xml:space="preserve"> </w:t>
      </w:r>
      <w:r w:rsidRPr="00CF0E03">
        <w:t xml:space="preserve">= 5.837, </w:t>
      </w:r>
      <w:r w:rsidRPr="00CF0E03">
        <w:rPr>
          <w:i/>
          <w:iCs/>
        </w:rPr>
        <w:t xml:space="preserve">SE </w:t>
      </w:r>
      <w:r w:rsidRPr="00CF0E03">
        <w:t xml:space="preserve">= 2.103, </w:t>
      </w:r>
      <w:r w:rsidRPr="00CF0E03">
        <w:rPr>
          <w:i/>
          <w:iCs/>
        </w:rPr>
        <w:t xml:space="preserve">BCa95%CI = </w:t>
      </w:r>
      <w:r w:rsidRPr="00CF0E03">
        <w:t>.808 to 10.083) (</w:t>
      </w:r>
      <w:r w:rsidRPr="00CF0E03">
        <w:rPr>
          <w:i/>
          <w:iCs/>
        </w:rPr>
        <w:t>r</w:t>
      </w:r>
      <w:r w:rsidRPr="00CF0E03">
        <w:t xml:space="preserve">(48) </w:t>
      </w:r>
      <w:r w:rsidRPr="00CF0E03">
        <w:lastRenderedPageBreak/>
        <w:t xml:space="preserve">= .391, </w:t>
      </w:r>
      <w:r w:rsidRPr="00CF0E03">
        <w:rPr>
          <w:i/>
          <w:iCs/>
        </w:rPr>
        <w:t>p</w:t>
      </w:r>
      <w:r w:rsidRPr="00CF0E03">
        <w:t xml:space="preserve"> </w:t>
      </w:r>
      <w:r w:rsidRPr="00CF0E03">
        <w:rPr>
          <w:rtl/>
        </w:rPr>
        <w:t>=</w:t>
      </w:r>
      <w:r w:rsidRPr="00CF0E03">
        <w:t xml:space="preserve"> .0</w:t>
      </w:r>
      <w:r w:rsidRPr="00CF0E03">
        <w:rPr>
          <w:rtl/>
        </w:rPr>
        <w:t>06</w:t>
      </w:r>
      <w:r w:rsidRPr="00CF0E03">
        <w:t xml:space="preserve">). </w:t>
      </w:r>
      <w:r w:rsidR="00AF1643">
        <w:t>F</w:t>
      </w:r>
      <w:r w:rsidRPr="00F96275">
        <w:t>acilitation scores</w:t>
      </w:r>
      <w:r w:rsidRPr="00690343">
        <w:t xml:space="preserve"> were</w:t>
      </w:r>
      <w:r>
        <w:t xml:space="preserve"> not associated with </w:t>
      </w:r>
      <w:r w:rsidRPr="00CF0E03">
        <w:t>cognitive fusion</w:t>
      </w:r>
      <w:r w:rsidR="00C05642">
        <w:t xml:space="preserve"> </w:t>
      </w:r>
      <w:r w:rsidR="00C05642" w:rsidRPr="002A1EF3">
        <w:t>(</w:t>
      </w:r>
      <w:proofErr w:type="spellStart"/>
      <w:r w:rsidR="00C05642" w:rsidRPr="002A1EF3">
        <w:rPr>
          <w:i/>
          <w:iCs/>
        </w:rPr>
        <w:t>Coeff</w:t>
      </w:r>
      <w:proofErr w:type="spellEnd"/>
      <w:r w:rsidR="00C05642" w:rsidRPr="002A1EF3">
        <w:rPr>
          <w:i/>
          <w:iCs/>
        </w:rPr>
        <w:t xml:space="preserve"> </w:t>
      </w:r>
      <w:r w:rsidR="00C05642" w:rsidRPr="002A1EF3">
        <w:t xml:space="preserve">= </w:t>
      </w:r>
      <w:r w:rsidR="00C05642">
        <w:t>2</w:t>
      </w:r>
      <w:r w:rsidR="00C05642" w:rsidRPr="002A1EF3">
        <w:t>.</w:t>
      </w:r>
      <w:r w:rsidR="00C05642">
        <w:t>634</w:t>
      </w:r>
      <w:r w:rsidR="00C05642" w:rsidRPr="002A1EF3">
        <w:t xml:space="preserve">, </w:t>
      </w:r>
      <w:r w:rsidR="00C05642" w:rsidRPr="002A1EF3">
        <w:rPr>
          <w:i/>
          <w:iCs/>
        </w:rPr>
        <w:t xml:space="preserve">SE </w:t>
      </w:r>
      <w:r w:rsidR="00C05642" w:rsidRPr="002A1EF3">
        <w:t xml:space="preserve">= </w:t>
      </w:r>
      <w:r w:rsidR="00C05642">
        <w:t>6.279</w:t>
      </w:r>
      <w:r w:rsidR="00C05642" w:rsidRPr="002A1EF3">
        <w:t xml:space="preserve">, </w:t>
      </w:r>
      <w:r w:rsidR="00C05642" w:rsidRPr="002A1EF3">
        <w:rPr>
          <w:i/>
          <w:iCs/>
        </w:rPr>
        <w:t xml:space="preserve">BCa95%CI = </w:t>
      </w:r>
      <w:r w:rsidR="00C05642">
        <w:t>-6</w:t>
      </w:r>
      <w:r w:rsidR="00C05642" w:rsidRPr="002A1EF3">
        <w:t>.</w:t>
      </w:r>
      <w:r w:rsidR="00C05642">
        <w:t>530</w:t>
      </w:r>
      <w:r w:rsidR="00C05642" w:rsidRPr="002A1EF3">
        <w:t xml:space="preserve"> to </w:t>
      </w:r>
      <w:r w:rsidR="00C05642">
        <w:t>18</w:t>
      </w:r>
      <w:r w:rsidR="00C05642" w:rsidRPr="002A1EF3">
        <w:t>.</w:t>
      </w:r>
      <w:r w:rsidR="00C05642">
        <w:t>878</w:t>
      </w:r>
      <w:r w:rsidR="00C05642" w:rsidRPr="002A1EF3">
        <w:t>) (</w:t>
      </w:r>
      <w:proofErr w:type="gramStart"/>
      <w:r w:rsidR="00C05642" w:rsidRPr="002A1EF3">
        <w:rPr>
          <w:i/>
          <w:iCs/>
        </w:rPr>
        <w:t>r</w:t>
      </w:r>
      <w:r w:rsidR="00C05642" w:rsidRPr="002A1EF3">
        <w:t>(</w:t>
      </w:r>
      <w:proofErr w:type="gramEnd"/>
      <w:r w:rsidR="00C05642" w:rsidRPr="002A1EF3">
        <w:t>48) = .</w:t>
      </w:r>
      <w:r w:rsidR="00C05642">
        <w:t>070</w:t>
      </w:r>
      <w:r w:rsidR="00C05642" w:rsidRPr="002A1EF3">
        <w:t xml:space="preserve">, </w:t>
      </w:r>
      <w:r w:rsidR="00C05642" w:rsidRPr="002A1EF3">
        <w:rPr>
          <w:i/>
          <w:iCs/>
        </w:rPr>
        <w:t>p</w:t>
      </w:r>
      <w:r w:rsidR="00C05642" w:rsidRPr="002A1EF3">
        <w:t xml:space="preserve"> = .</w:t>
      </w:r>
      <w:r w:rsidR="00C05642">
        <w:t>639</w:t>
      </w:r>
      <w:r w:rsidR="00C05642" w:rsidRPr="002A1EF3">
        <w:t>)</w:t>
      </w:r>
      <w:r w:rsidRPr="00690343">
        <w:t>. A</w:t>
      </w:r>
      <w:r w:rsidRPr="00F96275">
        <w:t>ggregated difference</w:t>
      </w:r>
      <w:r w:rsidRPr="00690343">
        <w:t xml:space="preserve"> </w:t>
      </w:r>
      <w:r w:rsidRPr="00F96275">
        <w:t>scores</w:t>
      </w:r>
      <w:r>
        <w:t xml:space="preserve"> were </w:t>
      </w:r>
      <w:r w:rsidR="00AF1643">
        <w:t xml:space="preserve">not </w:t>
      </w:r>
      <w:r>
        <w:t xml:space="preserve">associated </w:t>
      </w:r>
      <w:r w:rsidRPr="002A1EF3">
        <w:t>with cognitive fusion (</w:t>
      </w:r>
      <w:proofErr w:type="spellStart"/>
      <w:r w:rsidRPr="002A1EF3">
        <w:rPr>
          <w:i/>
          <w:iCs/>
        </w:rPr>
        <w:t>Coeff</w:t>
      </w:r>
      <w:proofErr w:type="spellEnd"/>
      <w:r w:rsidRPr="002A1EF3">
        <w:rPr>
          <w:i/>
          <w:iCs/>
        </w:rPr>
        <w:t xml:space="preserve"> </w:t>
      </w:r>
      <w:r w:rsidRPr="002A1EF3">
        <w:t xml:space="preserve">= .048, </w:t>
      </w:r>
      <w:r w:rsidRPr="002A1EF3">
        <w:rPr>
          <w:i/>
          <w:iCs/>
        </w:rPr>
        <w:t xml:space="preserve">SE </w:t>
      </w:r>
      <w:r w:rsidRPr="002A1EF3">
        <w:t xml:space="preserve">= .042, </w:t>
      </w:r>
      <w:r w:rsidRPr="002A1EF3">
        <w:rPr>
          <w:i/>
          <w:iCs/>
        </w:rPr>
        <w:t xml:space="preserve">BCa95%CI = </w:t>
      </w:r>
      <w:r w:rsidRPr="002A1EF3">
        <w:t>-.018 to .141) (</w:t>
      </w:r>
      <w:proofErr w:type="gramStart"/>
      <w:r w:rsidRPr="002A1EF3">
        <w:rPr>
          <w:i/>
          <w:iCs/>
        </w:rPr>
        <w:t>r</w:t>
      </w:r>
      <w:r w:rsidRPr="002A1EF3">
        <w:t>(</w:t>
      </w:r>
      <w:proofErr w:type="gramEnd"/>
      <w:r w:rsidRPr="002A1EF3">
        <w:t xml:space="preserve">48) = .193, </w:t>
      </w:r>
      <w:r w:rsidRPr="002A1EF3">
        <w:rPr>
          <w:i/>
          <w:iCs/>
        </w:rPr>
        <w:t>p</w:t>
      </w:r>
      <w:r w:rsidRPr="002A1EF3">
        <w:t xml:space="preserve"> = .189).</w:t>
      </w:r>
      <w:r w:rsidR="00F20436">
        <w:t xml:space="preserve"> W</w:t>
      </w:r>
      <w:r w:rsidR="00F20436" w:rsidRPr="00CF0E03">
        <w:t xml:space="preserve">orry </w:t>
      </w:r>
      <w:r w:rsidR="00F20436">
        <w:t>was</w:t>
      </w:r>
      <w:r w:rsidR="00F20436" w:rsidRPr="00CF0E03">
        <w:t xml:space="preserve"> not associated with </w:t>
      </w:r>
      <w:r w:rsidR="00F20436">
        <w:t>i</w:t>
      </w:r>
      <w:r w:rsidR="00F20436" w:rsidRPr="00CF0E03">
        <w:t>nterference scores (</w:t>
      </w:r>
      <w:proofErr w:type="spellStart"/>
      <w:r w:rsidR="00F20436" w:rsidRPr="00CF0E03">
        <w:rPr>
          <w:i/>
          <w:iCs/>
        </w:rPr>
        <w:t>Coeff</w:t>
      </w:r>
      <w:proofErr w:type="spellEnd"/>
      <w:r w:rsidR="00F20436" w:rsidRPr="00CF0E03">
        <w:rPr>
          <w:i/>
          <w:iCs/>
        </w:rPr>
        <w:t xml:space="preserve"> </w:t>
      </w:r>
      <w:r w:rsidR="00F20436" w:rsidRPr="00CF0E03">
        <w:t xml:space="preserve">= 2.222, </w:t>
      </w:r>
      <w:r w:rsidR="00F20436" w:rsidRPr="00CF0E03">
        <w:rPr>
          <w:i/>
          <w:iCs/>
        </w:rPr>
        <w:t xml:space="preserve">SE </w:t>
      </w:r>
      <w:r w:rsidR="00F20436" w:rsidRPr="00CF0E03">
        <w:t xml:space="preserve">= 2.892, </w:t>
      </w:r>
      <w:r w:rsidR="00F20436" w:rsidRPr="00CF0E03">
        <w:rPr>
          <w:i/>
          <w:iCs/>
        </w:rPr>
        <w:t xml:space="preserve">BCa95%CI = </w:t>
      </w:r>
      <w:r w:rsidR="00F20436" w:rsidRPr="00CF0E03">
        <w:t>-2.342 to 7.941) (</w:t>
      </w:r>
      <w:r w:rsidR="00F20436" w:rsidRPr="00CF0E03">
        <w:rPr>
          <w:i/>
          <w:iCs/>
        </w:rPr>
        <w:t>r</w:t>
      </w:r>
      <w:r w:rsidR="00F20436" w:rsidRPr="00CF0E03">
        <w:t xml:space="preserve">(48) = .172, </w:t>
      </w:r>
      <w:r w:rsidR="00F20436" w:rsidRPr="00CF0E03">
        <w:rPr>
          <w:i/>
          <w:iCs/>
        </w:rPr>
        <w:t>p</w:t>
      </w:r>
      <w:r w:rsidR="00F20436" w:rsidRPr="00CF0E03">
        <w:t xml:space="preserve"> = .242)</w:t>
      </w:r>
      <w:r w:rsidR="00F20436">
        <w:t xml:space="preserve"> nor were facilitation </w:t>
      </w:r>
      <w:r w:rsidR="00F20436" w:rsidRPr="00CF0E03">
        <w:t>(</w:t>
      </w:r>
      <w:proofErr w:type="spellStart"/>
      <w:r w:rsidR="00F20436" w:rsidRPr="00CF0E03">
        <w:rPr>
          <w:i/>
          <w:iCs/>
        </w:rPr>
        <w:t>Coeff</w:t>
      </w:r>
      <w:proofErr w:type="spellEnd"/>
      <w:r w:rsidR="00F20436" w:rsidRPr="00CF0E03">
        <w:rPr>
          <w:i/>
          <w:iCs/>
        </w:rPr>
        <w:t xml:space="preserve"> </w:t>
      </w:r>
      <w:r w:rsidR="00F20436" w:rsidRPr="00CF0E03">
        <w:t xml:space="preserve">= </w:t>
      </w:r>
      <w:r w:rsidR="00F20436">
        <w:t>-4.755</w:t>
      </w:r>
      <w:r w:rsidR="00F20436" w:rsidRPr="00CF0E03">
        <w:t xml:space="preserve">, </w:t>
      </w:r>
      <w:r w:rsidR="00F20436" w:rsidRPr="00CF0E03">
        <w:rPr>
          <w:i/>
          <w:iCs/>
        </w:rPr>
        <w:t xml:space="preserve">SE </w:t>
      </w:r>
      <w:r w:rsidR="00F20436" w:rsidRPr="00CF0E03">
        <w:t xml:space="preserve">= </w:t>
      </w:r>
      <w:r w:rsidR="00F20436">
        <w:t>8.490</w:t>
      </w:r>
      <w:r w:rsidR="00F20436" w:rsidRPr="00CF0E03">
        <w:t xml:space="preserve">, </w:t>
      </w:r>
      <w:r w:rsidR="00F20436" w:rsidRPr="00CF0E03">
        <w:rPr>
          <w:i/>
          <w:iCs/>
        </w:rPr>
        <w:t xml:space="preserve">BCa95%CI = </w:t>
      </w:r>
      <w:r w:rsidR="00F20436" w:rsidRPr="00CF0E03">
        <w:t>-</w:t>
      </w:r>
      <w:r w:rsidR="00F20436">
        <w:t>20.908</w:t>
      </w:r>
      <w:r w:rsidR="00F20436" w:rsidRPr="00CF0E03">
        <w:t xml:space="preserve"> to </w:t>
      </w:r>
      <w:r w:rsidR="00F20436">
        <w:t>14.411</w:t>
      </w:r>
      <w:r w:rsidR="00F20436" w:rsidRPr="00CF0E03">
        <w:t>) (</w:t>
      </w:r>
      <w:r w:rsidR="00F20436" w:rsidRPr="00CF0E03">
        <w:rPr>
          <w:i/>
          <w:iCs/>
        </w:rPr>
        <w:t>r</w:t>
      </w:r>
      <w:r w:rsidR="00F20436" w:rsidRPr="00CF0E03">
        <w:t xml:space="preserve">(48) = </w:t>
      </w:r>
      <w:r w:rsidR="004724E5">
        <w:t>-</w:t>
      </w:r>
      <w:r w:rsidR="00F20436" w:rsidRPr="00CF0E03">
        <w:t>.</w:t>
      </w:r>
      <w:r w:rsidR="004724E5">
        <w:t>076</w:t>
      </w:r>
      <w:r w:rsidR="00F20436" w:rsidRPr="00CF0E03">
        <w:t xml:space="preserve">, </w:t>
      </w:r>
      <w:r w:rsidR="00F20436" w:rsidRPr="00CF0E03">
        <w:rPr>
          <w:i/>
          <w:iCs/>
        </w:rPr>
        <w:t>p</w:t>
      </w:r>
      <w:r w:rsidR="00F20436" w:rsidRPr="00CF0E03">
        <w:t xml:space="preserve"> = .</w:t>
      </w:r>
      <w:r w:rsidR="004724E5">
        <w:t>608</w:t>
      </w:r>
      <w:r w:rsidR="00F20436" w:rsidRPr="00CF0E03">
        <w:t>)</w:t>
      </w:r>
      <w:r w:rsidR="00F20436">
        <w:t xml:space="preserve"> and aggregated mean difference scores </w:t>
      </w:r>
      <w:r w:rsidR="00F20436" w:rsidRPr="00CF0E03">
        <w:t>(</w:t>
      </w:r>
      <w:proofErr w:type="spellStart"/>
      <w:r w:rsidR="00F20436" w:rsidRPr="00CF0E03">
        <w:rPr>
          <w:i/>
          <w:iCs/>
        </w:rPr>
        <w:t>Coeff</w:t>
      </w:r>
      <w:proofErr w:type="spellEnd"/>
      <w:r w:rsidR="00F20436" w:rsidRPr="00CF0E03">
        <w:rPr>
          <w:i/>
          <w:iCs/>
        </w:rPr>
        <w:t xml:space="preserve"> </w:t>
      </w:r>
      <w:r w:rsidR="00F20436" w:rsidRPr="00CF0E03">
        <w:t xml:space="preserve">= 2.222, </w:t>
      </w:r>
      <w:r w:rsidR="00F20436" w:rsidRPr="00CF0E03">
        <w:rPr>
          <w:i/>
          <w:iCs/>
        </w:rPr>
        <w:t xml:space="preserve">SE </w:t>
      </w:r>
      <w:r w:rsidR="00F20436" w:rsidRPr="00CF0E03">
        <w:t xml:space="preserve">= 2.892, </w:t>
      </w:r>
      <w:r w:rsidR="00F20436" w:rsidRPr="00CF0E03">
        <w:rPr>
          <w:i/>
          <w:iCs/>
        </w:rPr>
        <w:t xml:space="preserve">BCa95%CI = </w:t>
      </w:r>
      <w:r w:rsidR="00F20436" w:rsidRPr="00CF0E03">
        <w:t>-2.342 to 7.941) (</w:t>
      </w:r>
      <w:r w:rsidR="00F20436" w:rsidRPr="00CF0E03">
        <w:rPr>
          <w:i/>
          <w:iCs/>
        </w:rPr>
        <w:t>r</w:t>
      </w:r>
      <w:r w:rsidR="00F20436" w:rsidRPr="00CF0E03">
        <w:t xml:space="preserve">(48) = </w:t>
      </w:r>
      <w:r w:rsidR="004724E5" w:rsidRPr="00CF0E03">
        <w:t>.</w:t>
      </w:r>
      <w:r w:rsidR="004724E5">
        <w:t>246</w:t>
      </w:r>
      <w:r w:rsidR="004724E5" w:rsidRPr="00CF0E03">
        <w:t xml:space="preserve">, </w:t>
      </w:r>
      <w:r w:rsidR="004724E5" w:rsidRPr="00CF0E03">
        <w:rPr>
          <w:i/>
          <w:iCs/>
        </w:rPr>
        <w:t>p</w:t>
      </w:r>
      <w:r w:rsidR="004724E5" w:rsidRPr="00CF0E03">
        <w:t xml:space="preserve"> = .</w:t>
      </w:r>
      <w:r w:rsidR="004724E5">
        <w:t>092</w:t>
      </w:r>
      <w:r w:rsidR="00F20436" w:rsidRPr="00CF0E03">
        <w:t>).</w:t>
      </w:r>
    </w:p>
    <w:p w14:paraId="42574386" w14:textId="17985F32" w:rsidR="00CF0E03" w:rsidRPr="00B8541D" w:rsidRDefault="00B8541D" w:rsidP="00354C6E">
      <w:r>
        <w:t>We additionally examined the same paths (between models alternating repetitive negative thinking, brooding, worry and cognitive fusion as M1</w:t>
      </w:r>
      <w:r w:rsidR="008A1C45">
        <w:t xml:space="preserve"> </w:t>
      </w:r>
      <w:r w:rsidR="000E59D7">
        <w:t>and attentional</w:t>
      </w:r>
      <w:r w:rsidR="008A1C45">
        <w:t xml:space="preserve"> interference as M2</w:t>
      </w:r>
      <w:r>
        <w:t xml:space="preserve">) but </w:t>
      </w:r>
      <w:r w:rsidR="00194A48">
        <w:t xml:space="preserve">entered </w:t>
      </w:r>
      <w:r>
        <w:t xml:space="preserve">positive emotional reactivity as predictor. In all models </w:t>
      </w:r>
      <w:r>
        <w:rPr>
          <w:i/>
          <w:iCs/>
        </w:rPr>
        <w:t>d</w:t>
      </w:r>
      <w:r w:rsidRPr="00F96275">
        <w:rPr>
          <w:vertAlign w:val="subscript"/>
        </w:rPr>
        <w:t>21</w:t>
      </w:r>
      <w:r>
        <w:t xml:space="preserve"> paths were non</w:t>
      </w:r>
      <w:r w:rsidR="00194A48">
        <w:t>significant</w:t>
      </w:r>
      <w:r>
        <w:t xml:space="preserve">. Internal </w:t>
      </w:r>
      <w:r w:rsidRPr="00690343">
        <w:t xml:space="preserve">attentional </w:t>
      </w:r>
      <w:r w:rsidRPr="00F96275">
        <w:t>interference score</w:t>
      </w:r>
      <w:r w:rsidRPr="00690343">
        <w:t xml:space="preserve"> </w:t>
      </w:r>
      <w:r>
        <w:t xml:space="preserve">was not associated with repetitive negative thinking </w:t>
      </w:r>
      <w:r w:rsidR="00BF6A64" w:rsidRPr="00CF0E03">
        <w:t>(</w:t>
      </w:r>
      <w:proofErr w:type="spellStart"/>
      <w:r w:rsidR="00BF6A64" w:rsidRPr="00CF0E03">
        <w:rPr>
          <w:i/>
          <w:iCs/>
        </w:rPr>
        <w:t>Coeff</w:t>
      </w:r>
      <w:proofErr w:type="spellEnd"/>
      <w:r w:rsidR="00BF6A64" w:rsidRPr="00CF0E03">
        <w:rPr>
          <w:i/>
          <w:iCs/>
        </w:rPr>
        <w:t xml:space="preserve"> </w:t>
      </w:r>
      <w:r w:rsidR="00BF6A64" w:rsidRPr="00CF0E03">
        <w:t xml:space="preserve">= </w:t>
      </w:r>
      <w:r w:rsidR="00BF6A64">
        <w:t>4.634</w:t>
      </w:r>
      <w:r w:rsidR="00BF6A64" w:rsidRPr="00CF0E03">
        <w:t xml:space="preserve">, </w:t>
      </w:r>
      <w:r w:rsidR="00BF6A64" w:rsidRPr="00CF0E03">
        <w:rPr>
          <w:i/>
          <w:iCs/>
        </w:rPr>
        <w:t xml:space="preserve">SE </w:t>
      </w:r>
      <w:r w:rsidR="00BF6A64" w:rsidRPr="00CF0E03">
        <w:t xml:space="preserve">= </w:t>
      </w:r>
      <w:r w:rsidR="00BF6A64">
        <w:t>2.730</w:t>
      </w:r>
      <w:r w:rsidR="00BF6A64" w:rsidRPr="00CF0E03">
        <w:t xml:space="preserve">, </w:t>
      </w:r>
      <w:r w:rsidR="00BF6A64" w:rsidRPr="00CF0E03">
        <w:rPr>
          <w:i/>
          <w:iCs/>
        </w:rPr>
        <w:t xml:space="preserve">BCa95%CI = </w:t>
      </w:r>
      <w:r w:rsidR="00BF6A64">
        <w:t>-.575</w:t>
      </w:r>
      <w:r w:rsidR="00BF6A64" w:rsidRPr="00CF0E03">
        <w:t xml:space="preserve"> to </w:t>
      </w:r>
      <w:r w:rsidR="00BF6A64">
        <w:t>8.563</w:t>
      </w:r>
      <w:r w:rsidR="00BF6A64" w:rsidRPr="00CF0E03">
        <w:t>)</w:t>
      </w:r>
      <w:r w:rsidR="00BF6A64">
        <w:t xml:space="preserve">, </w:t>
      </w:r>
      <w:r w:rsidRPr="00CF0E03">
        <w:t>brooding</w:t>
      </w:r>
      <w:r>
        <w:t xml:space="preserve"> </w:t>
      </w:r>
      <w:r w:rsidRPr="00CF0E03">
        <w:t>(</w:t>
      </w:r>
      <w:proofErr w:type="spellStart"/>
      <w:r w:rsidRPr="00CF0E03">
        <w:rPr>
          <w:i/>
          <w:iCs/>
        </w:rPr>
        <w:t>Coeff</w:t>
      </w:r>
      <w:proofErr w:type="spellEnd"/>
      <w:r w:rsidRPr="00CF0E03">
        <w:rPr>
          <w:i/>
          <w:iCs/>
        </w:rPr>
        <w:t xml:space="preserve"> </w:t>
      </w:r>
      <w:r w:rsidRPr="00CF0E03">
        <w:t xml:space="preserve">= </w:t>
      </w:r>
      <w:r w:rsidR="00BF6A64">
        <w:t>1.544</w:t>
      </w:r>
      <w:r w:rsidRPr="00CF0E03">
        <w:t xml:space="preserve">, </w:t>
      </w:r>
      <w:r w:rsidRPr="00CF0E03">
        <w:rPr>
          <w:i/>
          <w:iCs/>
        </w:rPr>
        <w:t xml:space="preserve">SE </w:t>
      </w:r>
      <w:r w:rsidRPr="00CF0E03">
        <w:t xml:space="preserve">= </w:t>
      </w:r>
      <w:r w:rsidR="00BF6A64">
        <w:t>.761</w:t>
      </w:r>
      <w:r w:rsidRPr="00CF0E03">
        <w:t xml:space="preserve">, </w:t>
      </w:r>
      <w:r w:rsidRPr="00CF0E03">
        <w:rPr>
          <w:i/>
          <w:iCs/>
        </w:rPr>
        <w:t xml:space="preserve">BCa95%CI = </w:t>
      </w:r>
      <w:r>
        <w:t>-.</w:t>
      </w:r>
      <w:r w:rsidR="00BF6A64">
        <w:t>254</w:t>
      </w:r>
      <w:r w:rsidRPr="00CF0E03">
        <w:t xml:space="preserve"> to </w:t>
      </w:r>
      <w:r w:rsidR="00BF6A64">
        <w:t>2</w:t>
      </w:r>
      <w:r>
        <w:t>.5</w:t>
      </w:r>
      <w:r w:rsidR="00BF6A64">
        <w:t>4</w:t>
      </w:r>
      <w:r>
        <w:t>3</w:t>
      </w:r>
      <w:r w:rsidRPr="00CF0E03">
        <w:t>)</w:t>
      </w:r>
      <w:r>
        <w:t>;</w:t>
      </w:r>
      <w:r w:rsidRPr="00CF0E03">
        <w:t xml:space="preserve"> and cognitive fusion</w:t>
      </w:r>
      <w:r w:rsidRPr="00CF0E03">
        <w:rPr>
          <w:i/>
          <w:iCs/>
        </w:rPr>
        <w:t xml:space="preserve"> </w:t>
      </w:r>
      <w:r w:rsidRPr="00CF0E03">
        <w:t>(</w:t>
      </w:r>
      <w:proofErr w:type="spellStart"/>
      <w:r w:rsidRPr="00CF0E03">
        <w:rPr>
          <w:i/>
          <w:iCs/>
        </w:rPr>
        <w:t>Coeff</w:t>
      </w:r>
      <w:proofErr w:type="spellEnd"/>
      <w:r w:rsidRPr="00CF0E03">
        <w:rPr>
          <w:i/>
          <w:iCs/>
        </w:rPr>
        <w:t xml:space="preserve"> </w:t>
      </w:r>
      <w:r w:rsidRPr="00CF0E03">
        <w:t xml:space="preserve">= </w:t>
      </w:r>
      <w:r w:rsidR="00BF6A64">
        <w:t>4</w:t>
      </w:r>
      <w:r w:rsidRPr="00CF0E03">
        <w:t>.</w:t>
      </w:r>
      <w:r w:rsidR="00BF6A64">
        <w:t>240</w:t>
      </w:r>
      <w:r w:rsidRPr="00CF0E03">
        <w:t xml:space="preserve">, </w:t>
      </w:r>
      <w:r w:rsidRPr="00CF0E03">
        <w:rPr>
          <w:i/>
          <w:iCs/>
        </w:rPr>
        <w:t xml:space="preserve">SE </w:t>
      </w:r>
      <w:r w:rsidRPr="00CF0E03">
        <w:t xml:space="preserve">= </w:t>
      </w:r>
      <w:r w:rsidR="00BF6A64">
        <w:t>1</w:t>
      </w:r>
      <w:r w:rsidRPr="00CF0E03">
        <w:t>.</w:t>
      </w:r>
      <w:r w:rsidR="00BF6A64">
        <w:t>901</w:t>
      </w:r>
      <w:r w:rsidRPr="00CF0E03">
        <w:t xml:space="preserve">, </w:t>
      </w:r>
      <w:r w:rsidRPr="00CF0E03">
        <w:rPr>
          <w:i/>
          <w:iCs/>
        </w:rPr>
        <w:t xml:space="preserve">BCa95%CI = </w:t>
      </w:r>
      <w:r w:rsidR="00BF6A64">
        <w:t>-1.267</w:t>
      </w:r>
      <w:r w:rsidRPr="00CF0E03">
        <w:t xml:space="preserve"> to </w:t>
      </w:r>
      <w:r w:rsidR="00BF6A64">
        <w:t>6</w:t>
      </w:r>
      <w:r w:rsidRPr="00CF0E03">
        <w:t>.</w:t>
      </w:r>
      <w:r w:rsidR="00BF6A64">
        <w:t>478</w:t>
      </w:r>
      <w:r w:rsidRPr="00CF0E03">
        <w:t>)</w:t>
      </w:r>
      <w:r w:rsidR="00BF6A64">
        <w:t xml:space="preserve"> nor</w:t>
      </w:r>
      <w:r w:rsidRPr="00CF0E03">
        <w:t xml:space="preserve"> worry (</w:t>
      </w:r>
      <w:proofErr w:type="spellStart"/>
      <w:r w:rsidRPr="00CF0E03">
        <w:rPr>
          <w:i/>
          <w:iCs/>
        </w:rPr>
        <w:t>Coeff</w:t>
      </w:r>
      <w:proofErr w:type="spellEnd"/>
      <w:r w:rsidRPr="00CF0E03">
        <w:rPr>
          <w:i/>
          <w:iCs/>
        </w:rPr>
        <w:t xml:space="preserve"> </w:t>
      </w:r>
      <w:r w:rsidRPr="00CF0E03">
        <w:t xml:space="preserve">= </w:t>
      </w:r>
      <w:r w:rsidR="00BF6A64">
        <w:t>3.299</w:t>
      </w:r>
      <w:r w:rsidRPr="00CF0E03">
        <w:t xml:space="preserve">, </w:t>
      </w:r>
      <w:r w:rsidRPr="00CF0E03">
        <w:rPr>
          <w:i/>
          <w:iCs/>
        </w:rPr>
        <w:t xml:space="preserve">SE </w:t>
      </w:r>
      <w:r w:rsidRPr="00CF0E03">
        <w:t>= 2.</w:t>
      </w:r>
      <w:r w:rsidR="00BF6A64">
        <w:t>726</w:t>
      </w:r>
      <w:r w:rsidRPr="00CF0E03">
        <w:t xml:space="preserve">, </w:t>
      </w:r>
      <w:r w:rsidRPr="00CF0E03">
        <w:rPr>
          <w:i/>
          <w:iCs/>
        </w:rPr>
        <w:t xml:space="preserve">BCa95%CI = </w:t>
      </w:r>
      <w:r w:rsidRPr="00CF0E03">
        <w:t>-</w:t>
      </w:r>
      <w:r w:rsidR="00BF6A64">
        <w:t>1</w:t>
      </w:r>
      <w:r w:rsidRPr="00CF0E03">
        <w:t>.</w:t>
      </w:r>
      <w:r w:rsidR="00BF6A64">
        <w:t>902</w:t>
      </w:r>
      <w:r w:rsidRPr="00CF0E03">
        <w:t xml:space="preserve"> to 7.</w:t>
      </w:r>
      <w:r w:rsidR="00BF6A64">
        <w:t>588</w:t>
      </w:r>
      <w:r w:rsidRPr="00CF0E03">
        <w:t xml:space="preserve">). </w:t>
      </w:r>
    </w:p>
    <w:p w14:paraId="3A004125" w14:textId="1E39AA97" w:rsidR="00310259" w:rsidRDefault="004011F8" w:rsidP="00354C6E">
      <w:r w:rsidRPr="00354C6E">
        <w:rPr>
          <w:rStyle w:val="Heading3Char"/>
        </w:rPr>
        <w:t>Serial mediation of emotional reactivity and depression and anxiety by difficulty disengaging attention from negative thoughts and negative repetitive thinking</w:t>
      </w:r>
      <w:r w:rsidR="00354C6E" w:rsidRPr="00354C6E">
        <w:rPr>
          <w:rStyle w:val="Heading3Char"/>
        </w:rPr>
        <w:t>.</w:t>
      </w:r>
      <w:r w:rsidR="00354C6E">
        <w:t xml:space="preserve"> </w:t>
      </w:r>
      <w:r w:rsidR="003D7E8C">
        <w:t>We tested the hypothesized serial multiple mediating mechanism linking negative emotional reactivity, difficulty disengaging internal attention, repetitive negative thinking, and symptom outcomes. Results indicated a significant</w:t>
      </w:r>
      <w:r w:rsidR="00310259">
        <w:t xml:space="preserve"> serial indirect paths of M1 aggregated mean difference and M2 repetitive negative thinking mediating the relations between negative emotional reactivity and depression (</w:t>
      </w:r>
      <w:r w:rsidR="00310259">
        <w:rPr>
          <w:i/>
          <w:iCs/>
        </w:rPr>
        <w:t>Effect</w:t>
      </w:r>
      <w:r w:rsidR="00310259">
        <w:t xml:space="preserve"> = .</w:t>
      </w:r>
      <w:r w:rsidR="008A2332">
        <w:t>178</w:t>
      </w:r>
      <w:r w:rsidR="00310259">
        <w:t xml:space="preserve">, </w:t>
      </w:r>
      <w:proofErr w:type="spellStart"/>
      <w:r w:rsidR="00310259">
        <w:rPr>
          <w:i/>
          <w:iCs/>
        </w:rPr>
        <w:t>BootSE</w:t>
      </w:r>
      <w:proofErr w:type="spellEnd"/>
      <w:r w:rsidR="00310259">
        <w:rPr>
          <w:i/>
          <w:iCs/>
        </w:rPr>
        <w:t xml:space="preserve"> </w:t>
      </w:r>
      <w:r w:rsidR="00310259">
        <w:t>= .</w:t>
      </w:r>
      <w:r w:rsidR="008A2332">
        <w:t>197</w:t>
      </w:r>
      <w:r w:rsidR="00310259">
        <w:t xml:space="preserve">, </w:t>
      </w:r>
      <w:r w:rsidR="00310259" w:rsidRPr="00FC2A89">
        <w:rPr>
          <w:i/>
          <w:iCs/>
        </w:rPr>
        <w:t>BCa95%CI</w:t>
      </w:r>
      <w:r w:rsidR="00310259">
        <w:t>: .</w:t>
      </w:r>
      <w:r w:rsidR="008A2332">
        <w:t>026</w:t>
      </w:r>
      <w:r w:rsidR="00310259">
        <w:t xml:space="preserve"> to 1.</w:t>
      </w:r>
      <w:r w:rsidR="008A2332">
        <w:t>173</w:t>
      </w:r>
      <w:r w:rsidR="00310259">
        <w:t xml:space="preserve">). A similar pattern of indirect effects or evidence for serial mediation was observed </w:t>
      </w:r>
      <w:r w:rsidR="00310259" w:rsidRPr="002A3CA6">
        <w:t>with respect to anxiety symptoms</w:t>
      </w:r>
      <w:r w:rsidR="00310259">
        <w:t xml:space="preserve"> as </w:t>
      </w:r>
      <w:r w:rsidR="00310259">
        <w:lastRenderedPageBreak/>
        <w:t>outcome</w:t>
      </w:r>
      <w:r w:rsidR="00310259" w:rsidRPr="002A3CA6">
        <w:t xml:space="preserve"> (</w:t>
      </w:r>
      <w:r w:rsidR="00310259" w:rsidRPr="002A3CA6">
        <w:rPr>
          <w:i/>
          <w:iCs/>
        </w:rPr>
        <w:t xml:space="preserve">Effect </w:t>
      </w:r>
      <w:r w:rsidR="00310259" w:rsidRPr="002A3CA6">
        <w:t>=.</w:t>
      </w:r>
      <w:r w:rsidR="008A2332">
        <w:t>419</w:t>
      </w:r>
      <w:r w:rsidR="00310259" w:rsidRPr="002A3CA6">
        <w:t xml:space="preserve">, </w:t>
      </w:r>
      <w:proofErr w:type="spellStart"/>
      <w:r w:rsidR="00310259" w:rsidRPr="002A3CA6">
        <w:rPr>
          <w:i/>
          <w:iCs/>
        </w:rPr>
        <w:t>BootSE</w:t>
      </w:r>
      <w:proofErr w:type="spellEnd"/>
      <w:r w:rsidR="00310259" w:rsidRPr="002A3CA6">
        <w:rPr>
          <w:i/>
          <w:iCs/>
        </w:rPr>
        <w:t xml:space="preserve"> </w:t>
      </w:r>
      <w:r w:rsidR="00310259" w:rsidRPr="002A3CA6">
        <w:t>= .</w:t>
      </w:r>
      <w:r w:rsidR="008A2332">
        <w:t>467</w:t>
      </w:r>
      <w:r w:rsidR="00310259" w:rsidRPr="002A3CA6">
        <w:t xml:space="preserve">, </w:t>
      </w:r>
      <w:r w:rsidR="00310259" w:rsidRPr="002A3CA6">
        <w:rPr>
          <w:i/>
          <w:iCs/>
        </w:rPr>
        <w:t>BCa95%CI</w:t>
      </w:r>
      <w:r w:rsidR="00310259" w:rsidRPr="002A3CA6">
        <w:t>: .</w:t>
      </w:r>
      <w:r w:rsidR="008A2332">
        <w:t>046</w:t>
      </w:r>
      <w:r w:rsidR="00310259" w:rsidRPr="002A3CA6">
        <w:t xml:space="preserve"> to </w:t>
      </w:r>
      <w:r w:rsidR="008A2332">
        <w:t>2</w:t>
      </w:r>
      <w:r w:rsidR="00310259" w:rsidRPr="002A3CA6">
        <w:t>.</w:t>
      </w:r>
      <w:r w:rsidR="008A2332">
        <w:t>745</w:t>
      </w:r>
      <w:r w:rsidR="00310259" w:rsidRPr="002A3CA6">
        <w:t xml:space="preserve">). </w:t>
      </w:r>
      <w:r w:rsidR="008A2332">
        <w:t>S</w:t>
      </w:r>
      <w:r w:rsidR="00310259" w:rsidRPr="002A3CA6">
        <w:t xml:space="preserve">imilar serial indirect effects were observed </w:t>
      </w:r>
      <w:r w:rsidR="00310259" w:rsidRPr="000319CA">
        <w:t>when brooding w</w:t>
      </w:r>
      <w:r w:rsidR="00310259">
        <w:t>as</w:t>
      </w:r>
      <w:r w:rsidR="00310259" w:rsidRPr="000319CA">
        <w:t xml:space="preserve"> tested as M2</w:t>
      </w:r>
      <w:r w:rsidR="00310259">
        <w:t>,</w:t>
      </w:r>
      <w:r w:rsidR="00310259" w:rsidRPr="000319CA">
        <w:t xml:space="preserve"> </w:t>
      </w:r>
      <w:r w:rsidR="00310259">
        <w:t>with outcomes of</w:t>
      </w:r>
      <w:r w:rsidR="00310259" w:rsidRPr="002A3CA6">
        <w:t xml:space="preserve"> depression </w:t>
      </w:r>
      <w:r w:rsidR="00310259">
        <w:t>(</w:t>
      </w:r>
      <w:r w:rsidR="00310259">
        <w:rPr>
          <w:i/>
          <w:iCs/>
        </w:rPr>
        <w:t>Effect</w:t>
      </w:r>
      <w:r w:rsidR="00310259">
        <w:t xml:space="preserve"> = .</w:t>
      </w:r>
      <w:r w:rsidR="008A2332">
        <w:t>366</w:t>
      </w:r>
      <w:r w:rsidR="00310259">
        <w:t xml:space="preserve">, </w:t>
      </w:r>
      <w:proofErr w:type="spellStart"/>
      <w:r w:rsidR="00310259">
        <w:rPr>
          <w:i/>
          <w:iCs/>
        </w:rPr>
        <w:t>BootSE</w:t>
      </w:r>
      <w:proofErr w:type="spellEnd"/>
      <w:r w:rsidR="00310259">
        <w:rPr>
          <w:i/>
          <w:iCs/>
        </w:rPr>
        <w:t xml:space="preserve"> </w:t>
      </w:r>
      <w:r w:rsidR="00310259">
        <w:t>= .</w:t>
      </w:r>
      <w:r w:rsidR="008A2332">
        <w:t>282</w:t>
      </w:r>
      <w:r w:rsidR="00310259">
        <w:t xml:space="preserve">, </w:t>
      </w:r>
      <w:r w:rsidR="00310259" w:rsidRPr="00FC2A89">
        <w:rPr>
          <w:i/>
          <w:iCs/>
        </w:rPr>
        <w:t>BCa95%CI</w:t>
      </w:r>
      <w:r w:rsidR="00310259">
        <w:t>: .0</w:t>
      </w:r>
      <w:r w:rsidR="008A2332">
        <w:t>82</w:t>
      </w:r>
      <w:r w:rsidR="00310259">
        <w:t xml:space="preserve"> to 1.</w:t>
      </w:r>
      <w:r w:rsidR="008A2332">
        <w:t>513</w:t>
      </w:r>
      <w:r w:rsidR="00310259">
        <w:t>) and anxiety (</w:t>
      </w:r>
      <w:r w:rsidR="00310259">
        <w:rPr>
          <w:i/>
          <w:iCs/>
        </w:rPr>
        <w:t>Effect</w:t>
      </w:r>
      <w:r w:rsidR="00310259">
        <w:t xml:space="preserve"> = </w:t>
      </w:r>
      <w:r w:rsidR="008A2332">
        <w:t>.849</w:t>
      </w:r>
      <w:r w:rsidR="00310259">
        <w:t xml:space="preserve">, </w:t>
      </w:r>
      <w:proofErr w:type="spellStart"/>
      <w:r w:rsidR="00310259">
        <w:rPr>
          <w:i/>
          <w:iCs/>
        </w:rPr>
        <w:t>BootSE</w:t>
      </w:r>
      <w:proofErr w:type="spellEnd"/>
      <w:r w:rsidR="00310259">
        <w:rPr>
          <w:i/>
          <w:iCs/>
        </w:rPr>
        <w:t xml:space="preserve"> </w:t>
      </w:r>
      <w:r w:rsidR="00310259">
        <w:t>= .</w:t>
      </w:r>
      <w:r w:rsidR="008A2332">
        <w:t>659</w:t>
      </w:r>
      <w:r w:rsidR="00310259">
        <w:t xml:space="preserve">, </w:t>
      </w:r>
      <w:r w:rsidR="00310259" w:rsidRPr="00FC2A89">
        <w:rPr>
          <w:i/>
          <w:iCs/>
        </w:rPr>
        <w:t>BCa95%CI</w:t>
      </w:r>
      <w:r w:rsidR="00310259">
        <w:t>: .</w:t>
      </w:r>
      <w:r w:rsidR="008A2332">
        <w:t>180</w:t>
      </w:r>
      <w:r w:rsidR="00310259">
        <w:t xml:space="preserve"> to </w:t>
      </w:r>
      <w:r w:rsidR="008A2332">
        <w:t>3</w:t>
      </w:r>
      <w:r w:rsidR="00310259">
        <w:t>.4</w:t>
      </w:r>
      <w:r w:rsidR="008A2332">
        <w:t>74</w:t>
      </w:r>
      <w:proofErr w:type="gramStart"/>
      <w:r w:rsidR="00310259">
        <w:t>)</w:t>
      </w:r>
      <w:r w:rsidR="00310259" w:rsidRPr="000319CA" w:rsidDel="00C8052F">
        <w:t xml:space="preserve"> </w:t>
      </w:r>
      <w:r w:rsidR="00310259" w:rsidRPr="000319CA">
        <w:t>.</w:t>
      </w:r>
      <w:proofErr w:type="gramEnd"/>
    </w:p>
    <w:p w14:paraId="5128AE68" w14:textId="4852B22C" w:rsidR="00B64A9A" w:rsidRDefault="00E32BD8" w:rsidP="00354C6E">
      <w:r>
        <w:t xml:space="preserve">We additionally examined the serial indirect paths of M1 </w:t>
      </w:r>
      <w:r w:rsidRPr="002A3CA6">
        <w:t>attentional interference</w:t>
      </w:r>
      <w:r>
        <w:t xml:space="preserve"> and M2 cognitive fusion mediating the relations between negative emotional reactivity (as predictor) and depression and anxiety symptom levels (as outcome variables). </w:t>
      </w:r>
      <w:r w:rsidR="001624C5">
        <w:t>S</w:t>
      </w:r>
      <w:r w:rsidR="001624C5" w:rsidRPr="002A3CA6">
        <w:t xml:space="preserve">imilar </w:t>
      </w:r>
      <w:r w:rsidR="00FF1B41">
        <w:t xml:space="preserve">(see Main Manuscript) </w:t>
      </w:r>
      <w:r w:rsidR="001624C5" w:rsidRPr="002A3CA6">
        <w:t>serial indirect effects were observed for cognitive fusion</w:t>
      </w:r>
      <w:r>
        <w:t xml:space="preserve"> as second mediator</w:t>
      </w:r>
      <w:r w:rsidR="001624C5" w:rsidRPr="002A3CA6">
        <w:t xml:space="preserve"> </w:t>
      </w:r>
      <w:r w:rsidR="00EA7C7D">
        <w:t xml:space="preserve">(Depression as outcome: </w:t>
      </w:r>
      <w:r w:rsidR="00EA7C7D">
        <w:rPr>
          <w:i/>
          <w:iCs/>
        </w:rPr>
        <w:t>Effect</w:t>
      </w:r>
      <w:r w:rsidR="00EA7C7D">
        <w:t xml:space="preserve"> = .767, </w:t>
      </w:r>
      <w:proofErr w:type="spellStart"/>
      <w:r w:rsidR="00EA7C7D">
        <w:rPr>
          <w:i/>
          <w:iCs/>
        </w:rPr>
        <w:t>BootSE</w:t>
      </w:r>
      <w:proofErr w:type="spellEnd"/>
      <w:r w:rsidR="00EA7C7D">
        <w:rPr>
          <w:i/>
          <w:iCs/>
        </w:rPr>
        <w:t xml:space="preserve"> </w:t>
      </w:r>
      <w:r w:rsidR="00EA7C7D">
        <w:t xml:space="preserve">= .463, </w:t>
      </w:r>
      <w:r w:rsidR="00EA7C7D" w:rsidRPr="00FC2A89">
        <w:rPr>
          <w:i/>
          <w:iCs/>
        </w:rPr>
        <w:t>BCa95%CI</w:t>
      </w:r>
      <w:r w:rsidR="00EA7C7D">
        <w:t xml:space="preserve">: .097 to 2.017; Anxiety as outcome: </w:t>
      </w:r>
      <w:r w:rsidR="00EA7C7D">
        <w:rPr>
          <w:i/>
          <w:iCs/>
        </w:rPr>
        <w:t>Effect</w:t>
      </w:r>
      <w:r w:rsidR="00EA7C7D">
        <w:t xml:space="preserve"> = 1.616, </w:t>
      </w:r>
      <w:proofErr w:type="spellStart"/>
      <w:r w:rsidR="00EA7C7D">
        <w:rPr>
          <w:i/>
          <w:iCs/>
        </w:rPr>
        <w:t>BootSE</w:t>
      </w:r>
      <w:proofErr w:type="spellEnd"/>
      <w:r w:rsidR="00EA7C7D">
        <w:rPr>
          <w:i/>
          <w:iCs/>
        </w:rPr>
        <w:t xml:space="preserve"> </w:t>
      </w:r>
      <w:r w:rsidR="00EA7C7D">
        <w:t xml:space="preserve">= 1.071, </w:t>
      </w:r>
      <w:r w:rsidR="00EA7C7D" w:rsidRPr="00FC2A89">
        <w:rPr>
          <w:i/>
          <w:iCs/>
        </w:rPr>
        <w:t>BCa95%CI</w:t>
      </w:r>
      <w:r w:rsidR="00EA7C7D">
        <w:t xml:space="preserve">: .216 to 4.933) </w:t>
      </w:r>
      <w:r w:rsidR="001624C5">
        <w:t>replaci</w:t>
      </w:r>
      <w:r w:rsidR="00B64A9A">
        <w:t>ng repetitive negative thinking.</w:t>
      </w:r>
    </w:p>
    <w:p w14:paraId="278A0DD0" w14:textId="791EDF9E" w:rsidR="00864E71" w:rsidRDefault="004011F8" w:rsidP="00354C6E">
      <w:r>
        <w:t xml:space="preserve">Additionally, we tested the serial multiple mediating mechanism linking positive emotional reactivity as </w:t>
      </w:r>
      <w:r w:rsidR="00BC30E5">
        <w:t xml:space="preserve">the </w:t>
      </w:r>
      <w:r>
        <w:t>predictor. No significant serial indirect paths were observed for</w:t>
      </w:r>
      <w:r w:rsidRPr="00DB3750">
        <w:t xml:space="preserve"> </w:t>
      </w:r>
      <w:r>
        <w:t xml:space="preserve">M1 </w:t>
      </w:r>
      <w:r w:rsidRPr="002A3CA6">
        <w:t>attentional interference</w:t>
      </w:r>
      <w:r>
        <w:t xml:space="preserve"> and M2 repetitive negative thinking mediating the relations between positive emotional reactivity and depression (</w:t>
      </w:r>
      <w:r>
        <w:rPr>
          <w:i/>
          <w:iCs/>
        </w:rPr>
        <w:t>Effect</w:t>
      </w:r>
      <w:r>
        <w:t xml:space="preserve"> = </w:t>
      </w:r>
      <w:r>
        <w:rPr>
          <w:rFonts w:hint="cs"/>
          <w:rtl/>
        </w:rPr>
        <w:t>-</w:t>
      </w:r>
      <w:r>
        <w:t>.</w:t>
      </w:r>
      <w:r>
        <w:rPr>
          <w:rFonts w:hint="cs"/>
          <w:rtl/>
        </w:rPr>
        <w:t>179</w:t>
      </w:r>
      <w:r>
        <w:t xml:space="preserve">, </w:t>
      </w:r>
      <w:proofErr w:type="spellStart"/>
      <w:r>
        <w:rPr>
          <w:i/>
          <w:iCs/>
        </w:rPr>
        <w:t>BootSE</w:t>
      </w:r>
      <w:proofErr w:type="spellEnd"/>
      <w:r>
        <w:rPr>
          <w:i/>
          <w:iCs/>
        </w:rPr>
        <w:t xml:space="preserve"> </w:t>
      </w:r>
      <w:r>
        <w:t>= .</w:t>
      </w:r>
      <w:r>
        <w:rPr>
          <w:rFonts w:hint="cs"/>
          <w:rtl/>
        </w:rPr>
        <w:t>178</w:t>
      </w:r>
      <w:r>
        <w:t xml:space="preserve">, </w:t>
      </w:r>
      <w:r w:rsidRPr="00FC2A89">
        <w:rPr>
          <w:i/>
          <w:iCs/>
        </w:rPr>
        <w:t>BCa95%CI</w:t>
      </w:r>
      <w:r>
        <w:t xml:space="preserve">: </w:t>
      </w:r>
      <w:r>
        <w:rPr>
          <w:rFonts w:hint="cs"/>
          <w:rtl/>
        </w:rPr>
        <w:t>-</w:t>
      </w:r>
      <w:r>
        <w:t>.</w:t>
      </w:r>
      <w:r>
        <w:rPr>
          <w:rFonts w:hint="cs"/>
          <w:rtl/>
        </w:rPr>
        <w:t>802</w:t>
      </w:r>
      <w:r>
        <w:t xml:space="preserve"> to .</w:t>
      </w:r>
      <w:r>
        <w:rPr>
          <w:rFonts w:hint="cs"/>
          <w:rtl/>
        </w:rPr>
        <w:t>008</w:t>
      </w:r>
      <w:r>
        <w:t xml:space="preserve">) nor </w:t>
      </w:r>
      <w:r w:rsidRPr="002A3CA6">
        <w:t>with respect to anxiety symptoms</w:t>
      </w:r>
      <w:r>
        <w:t xml:space="preserve"> </w:t>
      </w:r>
      <w:r w:rsidRPr="002A3CA6">
        <w:t>(</w:t>
      </w:r>
      <w:r w:rsidRPr="002A3CA6">
        <w:rPr>
          <w:i/>
          <w:iCs/>
        </w:rPr>
        <w:t xml:space="preserve">Effect </w:t>
      </w:r>
      <w:r w:rsidRPr="002A3CA6">
        <w:t xml:space="preserve">= </w:t>
      </w:r>
      <w:r>
        <w:t>.365</w:t>
      </w:r>
      <w:r w:rsidRPr="002A3CA6">
        <w:t xml:space="preserve">, </w:t>
      </w:r>
      <w:proofErr w:type="spellStart"/>
      <w:r w:rsidRPr="002A3CA6">
        <w:rPr>
          <w:i/>
          <w:iCs/>
        </w:rPr>
        <w:t>BootSE</w:t>
      </w:r>
      <w:proofErr w:type="spellEnd"/>
      <w:r w:rsidRPr="002A3CA6">
        <w:rPr>
          <w:i/>
          <w:iCs/>
        </w:rPr>
        <w:t xml:space="preserve"> </w:t>
      </w:r>
      <w:r w:rsidRPr="002A3CA6">
        <w:t>= .</w:t>
      </w:r>
      <w:r>
        <w:t>381</w:t>
      </w:r>
      <w:r w:rsidRPr="002A3CA6">
        <w:t xml:space="preserve">, </w:t>
      </w:r>
      <w:r w:rsidRPr="002A3CA6">
        <w:rPr>
          <w:i/>
          <w:iCs/>
        </w:rPr>
        <w:t>BCa95%CI</w:t>
      </w:r>
      <w:r w:rsidRPr="002A3CA6">
        <w:t xml:space="preserve">: </w:t>
      </w:r>
      <w:r>
        <w:t>-1</w:t>
      </w:r>
      <w:r w:rsidRPr="002A3CA6">
        <w:t>.</w:t>
      </w:r>
      <w:r>
        <w:t>697</w:t>
      </w:r>
      <w:r w:rsidRPr="002A3CA6">
        <w:t xml:space="preserve"> to .</w:t>
      </w:r>
      <w:r>
        <w:t>013</w:t>
      </w:r>
      <w:r w:rsidRPr="002A3CA6">
        <w:t>).</w:t>
      </w:r>
      <w:r>
        <w:t xml:space="preserve"> S</w:t>
      </w:r>
      <w:r w:rsidRPr="002A3CA6">
        <w:t xml:space="preserve">imilar serial indirect effects were observed </w:t>
      </w:r>
      <w:r w:rsidRPr="000319CA">
        <w:t>when brooding</w:t>
      </w:r>
      <w:r>
        <w:t xml:space="preserve"> (rumination)</w:t>
      </w:r>
      <w:r w:rsidRPr="000319CA">
        <w:t xml:space="preserve"> w</w:t>
      </w:r>
      <w:r>
        <w:t>as</w:t>
      </w:r>
      <w:r w:rsidRPr="000319CA">
        <w:t xml:space="preserve"> tested as M2</w:t>
      </w:r>
      <w:r>
        <w:t>,</w:t>
      </w:r>
      <w:r w:rsidRPr="000319CA">
        <w:t xml:space="preserve"> </w:t>
      </w:r>
      <w:r>
        <w:t>with outcomes of</w:t>
      </w:r>
      <w:r w:rsidRPr="002A3CA6">
        <w:t xml:space="preserve"> depression </w:t>
      </w:r>
      <w:r>
        <w:t>(</w:t>
      </w:r>
      <w:r>
        <w:rPr>
          <w:i/>
          <w:iCs/>
        </w:rPr>
        <w:t>Effect</w:t>
      </w:r>
      <w:r>
        <w:t xml:space="preserve"> = -.231, </w:t>
      </w:r>
      <w:proofErr w:type="spellStart"/>
      <w:r>
        <w:rPr>
          <w:i/>
          <w:iCs/>
        </w:rPr>
        <w:t>BootSE</w:t>
      </w:r>
      <w:proofErr w:type="spellEnd"/>
      <w:r>
        <w:rPr>
          <w:i/>
          <w:iCs/>
        </w:rPr>
        <w:t xml:space="preserve"> </w:t>
      </w:r>
      <w:r>
        <w:t xml:space="preserve">= .204, </w:t>
      </w:r>
      <w:r w:rsidRPr="00FC2A89">
        <w:rPr>
          <w:i/>
          <w:iCs/>
        </w:rPr>
        <w:t>BCa95%CI</w:t>
      </w:r>
      <w:r>
        <w:t xml:space="preserve">: -.905 to </w:t>
      </w:r>
      <w:r w:rsidR="000D1F55">
        <w:t>.020</w:t>
      </w:r>
      <w:r>
        <w:t xml:space="preserve">) </w:t>
      </w:r>
      <w:r w:rsidR="000D1F55">
        <w:t>nor</w:t>
      </w:r>
      <w:r>
        <w:t xml:space="preserve"> anxiety (</w:t>
      </w:r>
      <w:r>
        <w:rPr>
          <w:i/>
          <w:iCs/>
        </w:rPr>
        <w:t>Effect</w:t>
      </w:r>
      <w:r>
        <w:t xml:space="preserve"> = </w:t>
      </w:r>
      <w:r w:rsidR="000D1F55">
        <w:t>-</w:t>
      </w:r>
      <w:r>
        <w:t>.</w:t>
      </w:r>
      <w:r w:rsidR="000D1F55">
        <w:t>432</w:t>
      </w:r>
      <w:r>
        <w:t xml:space="preserve">, </w:t>
      </w:r>
      <w:proofErr w:type="spellStart"/>
      <w:r>
        <w:rPr>
          <w:i/>
          <w:iCs/>
        </w:rPr>
        <w:t>BootSE</w:t>
      </w:r>
      <w:proofErr w:type="spellEnd"/>
      <w:r>
        <w:rPr>
          <w:i/>
          <w:iCs/>
        </w:rPr>
        <w:t xml:space="preserve"> </w:t>
      </w:r>
      <w:r>
        <w:t>= .</w:t>
      </w:r>
      <w:r w:rsidR="000D1F55">
        <w:t>426</w:t>
      </w:r>
      <w:r>
        <w:t xml:space="preserve">, </w:t>
      </w:r>
      <w:r w:rsidRPr="00FC2A89">
        <w:rPr>
          <w:i/>
          <w:iCs/>
        </w:rPr>
        <w:t>BCa95%CI</w:t>
      </w:r>
      <w:r>
        <w:t xml:space="preserve">: </w:t>
      </w:r>
      <w:r w:rsidR="000D1F55">
        <w:t>-2</w:t>
      </w:r>
      <w:r>
        <w:t>.0</w:t>
      </w:r>
      <w:r w:rsidR="000D1F55">
        <w:t>46</w:t>
      </w:r>
      <w:r>
        <w:t xml:space="preserve"> to .</w:t>
      </w:r>
      <w:r w:rsidR="000D1F55">
        <w:t>014</w:t>
      </w:r>
      <w:r w:rsidR="00606DBE">
        <w:t>)</w:t>
      </w:r>
      <w:r w:rsidR="000D1F55">
        <w:t>.</w:t>
      </w:r>
    </w:p>
    <w:p w14:paraId="154F9846" w14:textId="49369703" w:rsidR="00354C6E" w:rsidRDefault="00606DBE" w:rsidP="00354C6E">
      <w:r w:rsidRPr="00354C6E">
        <w:rPr>
          <w:rStyle w:val="Heading3Char"/>
        </w:rPr>
        <w:t>Mean duration difference between negative and neutral stimuli as alternative explanatory variable</w:t>
      </w:r>
      <w:r w:rsidR="00354C6E" w:rsidRPr="00354C6E">
        <w:rPr>
          <w:rStyle w:val="Heading3Char"/>
        </w:rPr>
        <w:t>.</w:t>
      </w:r>
      <w:r w:rsidR="00354C6E">
        <w:t xml:space="preserve"> </w:t>
      </w:r>
      <w:r>
        <w:t xml:space="preserve">We scored mean duration difference by subtracting the mean duration of neutral from mean duration of negative stimuli per participant. The mean duration difference was not correlated with any measure except brooding </w:t>
      </w:r>
      <w:r w:rsidRPr="002A1EF3">
        <w:t>(</w:t>
      </w:r>
      <w:proofErr w:type="gramStart"/>
      <w:r w:rsidRPr="002A1EF3">
        <w:rPr>
          <w:i/>
          <w:iCs/>
        </w:rPr>
        <w:t>r</w:t>
      </w:r>
      <w:r w:rsidRPr="002A1EF3">
        <w:t>(</w:t>
      </w:r>
      <w:proofErr w:type="gramEnd"/>
      <w:r w:rsidRPr="002A1EF3">
        <w:t>48) = .</w:t>
      </w:r>
      <w:r>
        <w:t>291</w:t>
      </w:r>
      <w:r w:rsidRPr="002A1EF3">
        <w:t xml:space="preserve">, </w:t>
      </w:r>
      <w:r w:rsidRPr="002A1EF3">
        <w:rPr>
          <w:i/>
          <w:iCs/>
        </w:rPr>
        <w:t>p</w:t>
      </w:r>
      <w:r w:rsidRPr="002A1EF3">
        <w:t xml:space="preserve"> = .0</w:t>
      </w:r>
      <w:r>
        <w:t>45</w:t>
      </w:r>
      <w:r w:rsidRPr="002A1EF3">
        <w:t>)</w:t>
      </w:r>
      <w:r>
        <w:t xml:space="preserve">. We further examined whether this explained observed findings </w:t>
      </w:r>
      <w:r>
        <w:lastRenderedPageBreak/>
        <w:t xml:space="preserve">for brooding. We ran a multiple regression in which the relation of attentional interference with brooding remained significant (B = 2.101, p = .006) with mean duration as covariate (B = 12.300, p = .029). Furthermore, no serial indirect effect was observed for mean duration difference for </w:t>
      </w:r>
      <w:r w:rsidRPr="002A3CA6">
        <w:t xml:space="preserve">depression </w:t>
      </w:r>
      <w:r>
        <w:t>(</w:t>
      </w:r>
      <w:r>
        <w:rPr>
          <w:i/>
          <w:iCs/>
        </w:rPr>
        <w:t>Effect</w:t>
      </w:r>
      <w:r>
        <w:t xml:space="preserve"> = -.154, </w:t>
      </w:r>
      <w:proofErr w:type="spellStart"/>
      <w:r>
        <w:rPr>
          <w:i/>
          <w:iCs/>
        </w:rPr>
        <w:t>BootSE</w:t>
      </w:r>
      <w:proofErr w:type="spellEnd"/>
      <w:r>
        <w:rPr>
          <w:i/>
          <w:iCs/>
        </w:rPr>
        <w:t xml:space="preserve"> </w:t>
      </w:r>
      <w:r>
        <w:t xml:space="preserve">= .351, </w:t>
      </w:r>
      <w:r w:rsidRPr="00FC2A89">
        <w:rPr>
          <w:i/>
          <w:iCs/>
        </w:rPr>
        <w:t>BCa95%CI</w:t>
      </w:r>
      <w:r>
        <w:t>: -1.227 to .290) nor anxiety (</w:t>
      </w:r>
      <w:r>
        <w:rPr>
          <w:i/>
          <w:iCs/>
        </w:rPr>
        <w:t>Effect</w:t>
      </w:r>
      <w:r>
        <w:t xml:space="preserve"> = -.299, </w:t>
      </w:r>
      <w:proofErr w:type="spellStart"/>
      <w:r>
        <w:rPr>
          <w:i/>
          <w:iCs/>
        </w:rPr>
        <w:t>BootSE</w:t>
      </w:r>
      <w:proofErr w:type="spellEnd"/>
      <w:r>
        <w:rPr>
          <w:i/>
          <w:iCs/>
        </w:rPr>
        <w:t xml:space="preserve"> </w:t>
      </w:r>
      <w:r>
        <w:t xml:space="preserve">= .656, </w:t>
      </w:r>
      <w:r w:rsidRPr="00FC2A89">
        <w:rPr>
          <w:i/>
          <w:iCs/>
        </w:rPr>
        <w:t>BCa95%CI</w:t>
      </w:r>
      <w:r>
        <w:t>: -2.586 to .363) as outcomes.</w:t>
      </w:r>
    </w:p>
    <w:p w14:paraId="4E4C3258" w14:textId="523E5333" w:rsidR="00354C6E" w:rsidRDefault="00354C6E" w:rsidP="00354C6E">
      <w:pPr>
        <w:pStyle w:val="Heading2"/>
      </w:pPr>
      <w:r>
        <w:t>Study 2</w:t>
      </w:r>
    </w:p>
    <w:p w14:paraId="3C0A9A0E" w14:textId="61A2A9D2" w:rsidR="00354C6E" w:rsidRDefault="00B404E9" w:rsidP="00354C6E">
      <w:r w:rsidRPr="0021677C">
        <w:rPr>
          <w:rStyle w:val="Heading3Char"/>
        </w:rPr>
        <w:t xml:space="preserve">Association between biased selective attention to negative self-referential thoughts and </w:t>
      </w:r>
      <w:r>
        <w:rPr>
          <w:rStyle w:val="Heading3Char"/>
        </w:rPr>
        <w:t>cognitive vulnerability</w:t>
      </w:r>
      <w:r w:rsidRPr="0021677C">
        <w:rPr>
          <w:rStyle w:val="Heading3Char"/>
        </w:rPr>
        <w:t>.</w:t>
      </w:r>
      <w:r>
        <w:t xml:space="preserve"> We examined the association between M1 biased attention </w:t>
      </w:r>
      <w:r w:rsidRPr="00690343">
        <w:t xml:space="preserve">and </w:t>
      </w:r>
      <w:r w:rsidR="000E59D7">
        <w:t xml:space="preserve">alternate </w:t>
      </w:r>
      <w:r>
        <w:t>M2 mediator worry</w:t>
      </w:r>
      <w:r w:rsidR="000E59D7">
        <w:t xml:space="preserve"> </w:t>
      </w:r>
      <w:r>
        <w:t xml:space="preserve">– i.e., path </w:t>
      </w:r>
      <w:r>
        <w:rPr>
          <w:i/>
          <w:iCs/>
        </w:rPr>
        <w:t>d</w:t>
      </w:r>
      <w:r w:rsidRPr="00F96275">
        <w:rPr>
          <w:vertAlign w:val="subscript"/>
        </w:rPr>
        <w:t>21</w:t>
      </w:r>
      <w:r>
        <w:t xml:space="preserve">. Negative emotional reactivity was the predictor in the model. Biased selective internal attention did not predict worry levels </w:t>
      </w:r>
      <w:r w:rsidRPr="00CF0E03">
        <w:t>(</w:t>
      </w:r>
      <w:proofErr w:type="spellStart"/>
      <w:r w:rsidRPr="00CF0E03">
        <w:rPr>
          <w:i/>
          <w:iCs/>
        </w:rPr>
        <w:t>Coeff</w:t>
      </w:r>
      <w:proofErr w:type="spellEnd"/>
      <w:r w:rsidRPr="00CF0E03">
        <w:rPr>
          <w:i/>
          <w:iCs/>
        </w:rPr>
        <w:t xml:space="preserve"> </w:t>
      </w:r>
      <w:r w:rsidRPr="00CF0E03">
        <w:t xml:space="preserve">= </w:t>
      </w:r>
      <w:r w:rsidR="00C65E6E">
        <w:t>.274</w:t>
      </w:r>
      <w:r w:rsidRPr="00CF0E03">
        <w:t xml:space="preserve">, </w:t>
      </w:r>
      <w:r w:rsidRPr="00CF0E03">
        <w:rPr>
          <w:i/>
          <w:iCs/>
        </w:rPr>
        <w:t xml:space="preserve">SE </w:t>
      </w:r>
      <w:r w:rsidRPr="00CF0E03">
        <w:t xml:space="preserve">= </w:t>
      </w:r>
      <w:r w:rsidR="00C65E6E">
        <w:t>.855</w:t>
      </w:r>
      <w:r w:rsidRPr="00CF0E03">
        <w:t xml:space="preserve">, </w:t>
      </w:r>
      <w:r w:rsidRPr="00CF0E03">
        <w:rPr>
          <w:i/>
          <w:iCs/>
        </w:rPr>
        <w:t xml:space="preserve">BCa95%CI = </w:t>
      </w:r>
      <w:r>
        <w:t>-</w:t>
      </w:r>
      <w:r w:rsidR="00C65E6E">
        <w:t>1</w:t>
      </w:r>
      <w:r>
        <w:t>.</w:t>
      </w:r>
      <w:r w:rsidR="00C65E6E">
        <w:t>693</w:t>
      </w:r>
      <w:r w:rsidRPr="00CF0E03">
        <w:t xml:space="preserve"> to </w:t>
      </w:r>
      <w:r w:rsidR="00C65E6E">
        <w:t>1.718</w:t>
      </w:r>
      <w:r w:rsidRPr="00CF0E03">
        <w:t>)</w:t>
      </w:r>
      <w:r w:rsidR="0097306C">
        <w:t xml:space="preserve"> (</w:t>
      </w:r>
      <w:proofErr w:type="gramStart"/>
      <w:r w:rsidR="0097306C">
        <w:rPr>
          <w:i/>
          <w:iCs/>
        </w:rPr>
        <w:t>r</w:t>
      </w:r>
      <w:r w:rsidR="0097306C">
        <w:t>(</w:t>
      </w:r>
      <w:proofErr w:type="gramEnd"/>
      <w:r w:rsidR="0097306C">
        <w:t xml:space="preserve">74) = .124, </w:t>
      </w:r>
      <w:r w:rsidR="0097306C">
        <w:rPr>
          <w:i/>
          <w:iCs/>
        </w:rPr>
        <w:t>p</w:t>
      </w:r>
      <w:r w:rsidR="0097306C">
        <w:t xml:space="preserve"> = .292)</w:t>
      </w:r>
      <w:r>
        <w:t>.</w:t>
      </w:r>
    </w:p>
    <w:p w14:paraId="103F8FE0" w14:textId="12A6E81D" w:rsidR="00185D25" w:rsidRDefault="00185D25" w:rsidP="00354C6E">
      <w:r>
        <w:t xml:space="preserve">We </w:t>
      </w:r>
      <w:r w:rsidR="000E59D7">
        <w:t xml:space="preserve">additionally </w:t>
      </w:r>
      <w:r>
        <w:t xml:space="preserve">examined the serial models where </w:t>
      </w:r>
      <w:r w:rsidRPr="007276BE">
        <w:rPr>
          <w:i/>
          <w:iCs/>
        </w:rPr>
        <w:t>positive</w:t>
      </w:r>
      <w:r>
        <w:t xml:space="preserve"> emotional reactivity was the predictor (rather than negative emotional reactivity). In contrast to repetitive negative thinking and brooding (see main manuscript) worry was not associated with biased selective attention (</w:t>
      </w:r>
      <w:proofErr w:type="spellStart"/>
      <w:r>
        <w:rPr>
          <w:i/>
          <w:iCs/>
        </w:rPr>
        <w:t>Coeff</w:t>
      </w:r>
      <w:proofErr w:type="spellEnd"/>
      <w:r>
        <w:rPr>
          <w:i/>
          <w:iCs/>
        </w:rPr>
        <w:t xml:space="preserve"> </w:t>
      </w:r>
      <w:r>
        <w:t xml:space="preserve">= .824, </w:t>
      </w:r>
      <w:r>
        <w:rPr>
          <w:i/>
          <w:iCs/>
        </w:rPr>
        <w:t xml:space="preserve">SE </w:t>
      </w:r>
      <w:r>
        <w:t xml:space="preserve">= .729, </w:t>
      </w:r>
      <w:r>
        <w:rPr>
          <w:i/>
          <w:iCs/>
        </w:rPr>
        <w:t xml:space="preserve">BCa95%CI = </w:t>
      </w:r>
      <w:r>
        <w:t>-.685 to 2.171).</w:t>
      </w:r>
    </w:p>
    <w:p w14:paraId="6CED6842" w14:textId="7954C33C" w:rsidR="00E32F6F" w:rsidRDefault="00E32F6F" w:rsidP="00E32F6F">
      <w:pPr>
        <w:pStyle w:val="Normal1"/>
      </w:pPr>
      <w:r w:rsidRPr="00E32F6F">
        <w:rPr>
          <w:rStyle w:val="Heading3Char"/>
        </w:rPr>
        <w:t>Association between biased selective attention to negative self-referential thoughts and depression and anxiety symptoms.</w:t>
      </w:r>
      <w:r>
        <w:t xml:space="preserve"> I</w:t>
      </w:r>
      <w:r>
        <w:rPr>
          <w:rFonts w:asciiTheme="majorBidi" w:hAnsiTheme="majorBidi"/>
        </w:rPr>
        <w:t xml:space="preserve">nconsistent with prediction, </w:t>
      </w:r>
      <w:r>
        <w:t xml:space="preserve">there was no direct significant association </w:t>
      </w:r>
      <w:r w:rsidRPr="00690343">
        <w:t xml:space="preserve">between </w:t>
      </w:r>
      <w:r>
        <w:t>biased selective internal attention</w:t>
      </w:r>
      <w:r w:rsidRPr="00690343">
        <w:t xml:space="preserve"> scores</w:t>
      </w:r>
      <w:r>
        <w:t xml:space="preserve"> and depression or anxiety symptoms with either positive</w:t>
      </w:r>
      <w:r w:rsidR="002A5571">
        <w:t xml:space="preserve"> or negative emotional reactivity as predictor:</w:t>
      </w:r>
      <w:r>
        <w:t xml:space="preserve"> </w:t>
      </w:r>
      <w:r w:rsidR="00ED1797">
        <w:t>(</w:t>
      </w:r>
      <w:r w:rsidR="002A5571">
        <w:t>a) negative emotional reactivity</w:t>
      </w:r>
      <w:r w:rsidR="000E59D7">
        <w:t xml:space="preserve"> (NER</w:t>
      </w:r>
      <w:r w:rsidR="002A5571">
        <w:t>) as predictor, r</w:t>
      </w:r>
      <w:r>
        <w:t xml:space="preserve">epetitive negative thinking as M2 and depression as outcome: </w:t>
      </w:r>
      <w:proofErr w:type="spellStart"/>
      <w:r w:rsidRPr="00CF0E03">
        <w:rPr>
          <w:i/>
          <w:iCs/>
        </w:rPr>
        <w:t>Coeff</w:t>
      </w:r>
      <w:proofErr w:type="spellEnd"/>
      <w:r w:rsidRPr="00CF0E03">
        <w:rPr>
          <w:i/>
          <w:iCs/>
        </w:rPr>
        <w:t xml:space="preserve"> </w:t>
      </w:r>
      <w:r w:rsidRPr="00CF0E03">
        <w:t xml:space="preserve">= </w:t>
      </w:r>
      <w:r>
        <w:t>.062</w:t>
      </w:r>
      <w:r w:rsidRPr="00CF0E03">
        <w:t xml:space="preserve">, </w:t>
      </w:r>
      <w:r w:rsidRPr="00CF0E03">
        <w:rPr>
          <w:i/>
          <w:iCs/>
        </w:rPr>
        <w:t xml:space="preserve">SE </w:t>
      </w:r>
      <w:r w:rsidRPr="00CF0E03">
        <w:t xml:space="preserve">= </w:t>
      </w:r>
      <w:r>
        <w:t>.158</w:t>
      </w:r>
      <w:r w:rsidRPr="00CF0E03">
        <w:t xml:space="preserve">, </w:t>
      </w:r>
      <w:r w:rsidRPr="00CF0E03">
        <w:rPr>
          <w:i/>
          <w:iCs/>
        </w:rPr>
        <w:t xml:space="preserve">BCa95%CI = </w:t>
      </w:r>
      <w:r>
        <w:t>-.272</w:t>
      </w:r>
      <w:r w:rsidRPr="00CF0E03">
        <w:t xml:space="preserve"> to </w:t>
      </w:r>
      <w:r>
        <w:t xml:space="preserve">.349; </w:t>
      </w:r>
      <w:r>
        <w:rPr>
          <w:i/>
          <w:iCs/>
        </w:rPr>
        <w:t>r</w:t>
      </w:r>
      <w:r>
        <w:t xml:space="preserve">(74) = .239, </w:t>
      </w:r>
      <w:r>
        <w:rPr>
          <w:i/>
          <w:iCs/>
        </w:rPr>
        <w:t>p</w:t>
      </w:r>
      <w:r>
        <w:t xml:space="preserve"> = .040</w:t>
      </w:r>
      <w:r w:rsidR="002A5571">
        <w:t xml:space="preserve">; </w:t>
      </w:r>
      <w:r w:rsidR="00ED1797">
        <w:t>(</w:t>
      </w:r>
      <w:r w:rsidR="002A5571">
        <w:t xml:space="preserve">b) NER as predictor, repetitive </w:t>
      </w:r>
      <w:r w:rsidR="002A5571">
        <w:lastRenderedPageBreak/>
        <w:t xml:space="preserve">negative thinking as M2 and anxiety as outcome: </w:t>
      </w:r>
      <w:proofErr w:type="spellStart"/>
      <w:r w:rsidR="002A5571" w:rsidRPr="00CF0E03">
        <w:rPr>
          <w:i/>
          <w:iCs/>
        </w:rPr>
        <w:t>Coeff</w:t>
      </w:r>
      <w:proofErr w:type="spellEnd"/>
      <w:r w:rsidR="002A5571" w:rsidRPr="00CF0E03">
        <w:rPr>
          <w:i/>
          <w:iCs/>
        </w:rPr>
        <w:t xml:space="preserve"> </w:t>
      </w:r>
      <w:r w:rsidR="002A5571" w:rsidRPr="00CF0E03">
        <w:t xml:space="preserve">= </w:t>
      </w:r>
      <w:r w:rsidR="002A5571">
        <w:t>-.386</w:t>
      </w:r>
      <w:r w:rsidR="002A5571" w:rsidRPr="00CF0E03">
        <w:t xml:space="preserve">, </w:t>
      </w:r>
      <w:r w:rsidR="002A5571" w:rsidRPr="00CF0E03">
        <w:rPr>
          <w:i/>
          <w:iCs/>
        </w:rPr>
        <w:t xml:space="preserve">SE </w:t>
      </w:r>
      <w:r w:rsidR="002A5571" w:rsidRPr="00CF0E03">
        <w:t xml:space="preserve">= </w:t>
      </w:r>
      <w:r w:rsidR="002A5571">
        <w:t>.354</w:t>
      </w:r>
      <w:r w:rsidR="002A5571" w:rsidRPr="00CF0E03">
        <w:t xml:space="preserve">, </w:t>
      </w:r>
      <w:r w:rsidR="002A5571" w:rsidRPr="00CF0E03">
        <w:rPr>
          <w:i/>
          <w:iCs/>
        </w:rPr>
        <w:t xml:space="preserve">BCa95%CI = </w:t>
      </w:r>
      <w:r w:rsidR="002A5571">
        <w:t>-1.022</w:t>
      </w:r>
      <w:r w:rsidR="002A5571" w:rsidRPr="00CF0E03">
        <w:t xml:space="preserve"> to </w:t>
      </w:r>
      <w:r w:rsidR="002A5571">
        <w:t xml:space="preserve">.390; </w:t>
      </w:r>
      <w:r w:rsidR="002A5571">
        <w:rPr>
          <w:i/>
          <w:iCs/>
        </w:rPr>
        <w:t>r</w:t>
      </w:r>
      <w:r w:rsidR="002A5571">
        <w:t xml:space="preserve">(74) = .108, </w:t>
      </w:r>
      <w:r w:rsidR="002A5571">
        <w:rPr>
          <w:i/>
          <w:iCs/>
        </w:rPr>
        <w:t>p</w:t>
      </w:r>
      <w:r w:rsidR="002A5571">
        <w:t xml:space="preserve"> = .358;</w:t>
      </w:r>
      <w:r w:rsidR="00ED1797">
        <w:t xml:space="preserve"> (c) </w:t>
      </w:r>
      <w:r w:rsidR="00F70DA5">
        <w:t>posit</w:t>
      </w:r>
      <w:r w:rsidR="00ED1797">
        <w:t>ive emotional reactivity</w:t>
      </w:r>
      <w:r w:rsidR="00F70DA5">
        <w:t xml:space="preserve"> (PER</w:t>
      </w:r>
      <w:r w:rsidR="00ED1797">
        <w:t xml:space="preserve">) as predictor, repetitive negative thinking as M2 and depression as outcome: </w:t>
      </w:r>
      <w:proofErr w:type="spellStart"/>
      <w:r w:rsidR="00ED1797" w:rsidRPr="00CF0E03">
        <w:rPr>
          <w:i/>
          <w:iCs/>
        </w:rPr>
        <w:t>Coeff</w:t>
      </w:r>
      <w:proofErr w:type="spellEnd"/>
      <w:r w:rsidR="00ED1797" w:rsidRPr="00CF0E03">
        <w:rPr>
          <w:i/>
          <w:iCs/>
        </w:rPr>
        <w:t xml:space="preserve"> </w:t>
      </w:r>
      <w:r w:rsidR="00ED1797" w:rsidRPr="00CF0E03">
        <w:t xml:space="preserve">= </w:t>
      </w:r>
      <w:r w:rsidR="00ED1797">
        <w:t>.132</w:t>
      </w:r>
      <w:r w:rsidR="00ED1797" w:rsidRPr="00CF0E03">
        <w:t xml:space="preserve">, </w:t>
      </w:r>
      <w:r w:rsidR="00ED1797" w:rsidRPr="00CF0E03">
        <w:rPr>
          <w:i/>
          <w:iCs/>
        </w:rPr>
        <w:t xml:space="preserve">SE </w:t>
      </w:r>
      <w:r w:rsidR="00ED1797" w:rsidRPr="00CF0E03">
        <w:t xml:space="preserve">= </w:t>
      </w:r>
      <w:r w:rsidR="00ED1797">
        <w:t>.149</w:t>
      </w:r>
      <w:r w:rsidR="00ED1797" w:rsidRPr="00CF0E03">
        <w:t xml:space="preserve">, </w:t>
      </w:r>
      <w:r w:rsidR="00ED1797" w:rsidRPr="00CF0E03">
        <w:rPr>
          <w:i/>
          <w:iCs/>
        </w:rPr>
        <w:t xml:space="preserve">BCa95%CI = </w:t>
      </w:r>
      <w:r w:rsidR="00ED1797">
        <w:t>-.181</w:t>
      </w:r>
      <w:r w:rsidR="00ED1797" w:rsidRPr="00CF0E03">
        <w:t xml:space="preserve"> to </w:t>
      </w:r>
      <w:r w:rsidR="00ED1797">
        <w:t xml:space="preserve">.399; </w:t>
      </w:r>
      <w:r w:rsidR="00366582">
        <w:t xml:space="preserve">(d) PER as predictor, repetitive negative thinking as M2 and anxiety as outcome: </w:t>
      </w:r>
      <w:proofErr w:type="spellStart"/>
      <w:r w:rsidR="00366582" w:rsidRPr="00CF0E03">
        <w:rPr>
          <w:i/>
          <w:iCs/>
        </w:rPr>
        <w:t>Coeff</w:t>
      </w:r>
      <w:proofErr w:type="spellEnd"/>
      <w:r w:rsidR="00366582" w:rsidRPr="00CF0E03">
        <w:rPr>
          <w:i/>
          <w:iCs/>
        </w:rPr>
        <w:t xml:space="preserve"> </w:t>
      </w:r>
      <w:r w:rsidR="00366582" w:rsidRPr="00CF0E03">
        <w:t xml:space="preserve">= </w:t>
      </w:r>
      <w:r w:rsidR="00366582">
        <w:t>-.248</w:t>
      </w:r>
      <w:r w:rsidR="00366582" w:rsidRPr="00CF0E03">
        <w:t xml:space="preserve">, </w:t>
      </w:r>
      <w:r w:rsidR="00366582" w:rsidRPr="00CF0E03">
        <w:rPr>
          <w:i/>
          <w:iCs/>
        </w:rPr>
        <w:t xml:space="preserve">SE </w:t>
      </w:r>
      <w:r w:rsidR="00366582" w:rsidRPr="00CF0E03">
        <w:t xml:space="preserve">= </w:t>
      </w:r>
      <w:r w:rsidR="00366582">
        <w:t>.331</w:t>
      </w:r>
      <w:r w:rsidR="00366582" w:rsidRPr="00CF0E03">
        <w:t xml:space="preserve">, </w:t>
      </w:r>
      <w:r w:rsidR="00366582" w:rsidRPr="00CF0E03">
        <w:rPr>
          <w:i/>
          <w:iCs/>
        </w:rPr>
        <w:t xml:space="preserve">BCa95%CI = </w:t>
      </w:r>
      <w:r w:rsidR="00366582">
        <w:t>-.834</w:t>
      </w:r>
      <w:r w:rsidR="00366582" w:rsidRPr="00CF0E03">
        <w:t xml:space="preserve"> to </w:t>
      </w:r>
      <w:r w:rsidR="00366582">
        <w:t>.495.</w:t>
      </w:r>
    </w:p>
    <w:p w14:paraId="3508116E" w14:textId="490D260A" w:rsidR="00F63633" w:rsidRDefault="00F63633" w:rsidP="00E32F6F">
      <w:pPr>
        <w:pStyle w:val="Normal1"/>
      </w:pPr>
      <w:r w:rsidRPr="00F63633">
        <w:rPr>
          <w:rStyle w:val="Heading3Char"/>
        </w:rPr>
        <w:t>Serial mediation of emotional reactivity and depression and anxiety by biased selective attention to negative thoughts and negative repetitive thinking.</w:t>
      </w:r>
      <w:r>
        <w:rPr>
          <w:rStyle w:val="Heading3Char"/>
        </w:rPr>
        <w:t xml:space="preserve"> </w:t>
      </w:r>
      <w:r w:rsidRPr="00F63633">
        <w:rPr>
          <w:rStyle w:val="Heading3Char"/>
          <w:b w:val="0"/>
          <w:bCs w:val="0"/>
        </w:rPr>
        <w:t>A</w:t>
      </w:r>
      <w:r w:rsidRPr="00F63633">
        <w:t>s in Study 1, no significant serial indirect effects were observed in models wherein positive emotional reactivity was the predictor</w:t>
      </w:r>
      <w:r>
        <w:t xml:space="preserve"> (see </w:t>
      </w:r>
      <w:r w:rsidR="004A470B">
        <w:t>Table 2</w:t>
      </w:r>
      <w:r>
        <w:t>).</w:t>
      </w:r>
    </w:p>
    <w:p w14:paraId="6567C7AC" w14:textId="66A6282E" w:rsidR="00F63633" w:rsidRPr="00F63633" w:rsidRDefault="00BF164E" w:rsidP="00E32F6F">
      <w:pPr>
        <w:pStyle w:val="Normal1"/>
      </w:pPr>
      <w:r>
        <w:rPr>
          <w:rFonts w:asciiTheme="majorBidi" w:hAnsiTheme="majorBidi"/>
        </w:rPr>
        <w:t>C</w:t>
      </w:r>
      <w:r w:rsidR="00F63633">
        <w:rPr>
          <w:rFonts w:asciiTheme="majorBidi" w:hAnsiTheme="majorBidi"/>
        </w:rPr>
        <w:t>onsistent with Study 1 and</w:t>
      </w:r>
      <w:r>
        <w:rPr>
          <w:rFonts w:asciiTheme="majorBidi" w:hAnsiTheme="majorBidi"/>
        </w:rPr>
        <w:t xml:space="preserve"> contrary to</w:t>
      </w:r>
      <w:r w:rsidR="00F63633">
        <w:rPr>
          <w:rFonts w:asciiTheme="majorBidi" w:hAnsiTheme="majorBidi"/>
        </w:rPr>
        <w:t xml:space="preserve"> prediction, non-significant indirect path was observed for </w:t>
      </w:r>
      <w:r>
        <w:rPr>
          <w:rFonts w:asciiTheme="majorBidi" w:hAnsiTheme="majorBidi"/>
        </w:rPr>
        <w:t>worry</w:t>
      </w:r>
      <w:r w:rsidR="00F63633">
        <w:rPr>
          <w:rFonts w:asciiTheme="majorBidi" w:hAnsiTheme="majorBidi"/>
        </w:rPr>
        <w:t xml:space="preserve"> as M2 </w:t>
      </w:r>
      <w:r w:rsidR="00F63633">
        <w:t>with</w:t>
      </w:r>
      <w:r w:rsidR="00F63633" w:rsidRPr="002A3CA6">
        <w:rPr>
          <w:rFonts w:asciiTheme="majorBidi" w:hAnsiTheme="majorBidi"/>
        </w:rPr>
        <w:t xml:space="preserve"> </w:t>
      </w:r>
      <w:r w:rsidR="00C15641">
        <w:rPr>
          <w:rFonts w:asciiTheme="majorBidi" w:hAnsiTheme="majorBidi"/>
        </w:rPr>
        <w:t xml:space="preserve">both </w:t>
      </w:r>
      <w:r w:rsidR="00F63633">
        <w:rPr>
          <w:rFonts w:asciiTheme="majorBidi" w:hAnsiTheme="majorBidi"/>
        </w:rPr>
        <w:t xml:space="preserve">depression </w:t>
      </w:r>
      <w:r w:rsidR="00F63633">
        <w:t>(</w:t>
      </w:r>
      <w:r w:rsidR="00F63633">
        <w:rPr>
          <w:rFonts w:asciiTheme="majorBidi" w:hAnsiTheme="majorBidi"/>
          <w:i/>
          <w:iCs/>
        </w:rPr>
        <w:t>Effect</w:t>
      </w:r>
      <w:r w:rsidR="00F63633">
        <w:rPr>
          <w:rFonts w:asciiTheme="majorBidi" w:hAnsiTheme="majorBidi"/>
        </w:rPr>
        <w:t xml:space="preserve"> = .</w:t>
      </w:r>
      <w:r>
        <w:rPr>
          <w:rFonts w:asciiTheme="majorBidi" w:hAnsiTheme="majorBidi"/>
        </w:rPr>
        <w:t>036</w:t>
      </w:r>
      <w:r w:rsidR="00F63633">
        <w:rPr>
          <w:rFonts w:asciiTheme="majorBidi" w:hAnsiTheme="majorBidi"/>
        </w:rPr>
        <w:t xml:space="preserve">, </w:t>
      </w:r>
      <w:proofErr w:type="spellStart"/>
      <w:r w:rsidR="00F63633">
        <w:rPr>
          <w:rFonts w:asciiTheme="majorBidi" w:hAnsiTheme="majorBidi"/>
          <w:i/>
          <w:iCs/>
        </w:rPr>
        <w:t>BootSE</w:t>
      </w:r>
      <w:proofErr w:type="spellEnd"/>
      <w:r w:rsidR="00F63633">
        <w:rPr>
          <w:rFonts w:asciiTheme="majorBidi" w:hAnsiTheme="majorBidi"/>
          <w:i/>
          <w:iCs/>
        </w:rPr>
        <w:t xml:space="preserve"> </w:t>
      </w:r>
      <w:r w:rsidR="00F63633">
        <w:rPr>
          <w:rFonts w:asciiTheme="majorBidi" w:hAnsiTheme="majorBidi"/>
        </w:rPr>
        <w:t>= .1</w:t>
      </w:r>
      <w:r>
        <w:rPr>
          <w:rFonts w:asciiTheme="majorBidi" w:hAnsiTheme="majorBidi"/>
        </w:rPr>
        <w:t>2</w:t>
      </w:r>
      <w:r w:rsidR="00F63633">
        <w:rPr>
          <w:rFonts w:asciiTheme="majorBidi" w:hAnsiTheme="majorBidi"/>
        </w:rPr>
        <w:t xml:space="preserve">1, </w:t>
      </w:r>
      <w:r w:rsidR="00F63633" w:rsidRPr="00FC2A89">
        <w:rPr>
          <w:rFonts w:asciiTheme="majorBidi" w:hAnsiTheme="majorBidi"/>
          <w:i/>
          <w:iCs/>
        </w:rPr>
        <w:t>BCa95%CI</w:t>
      </w:r>
      <w:r w:rsidR="00F63633">
        <w:rPr>
          <w:rFonts w:asciiTheme="majorBidi" w:hAnsiTheme="majorBidi"/>
        </w:rPr>
        <w:t>: -.</w:t>
      </w:r>
      <w:r>
        <w:rPr>
          <w:rFonts w:asciiTheme="majorBidi" w:hAnsiTheme="majorBidi"/>
        </w:rPr>
        <w:t>234</w:t>
      </w:r>
      <w:r w:rsidR="00F63633">
        <w:rPr>
          <w:rFonts w:asciiTheme="majorBidi" w:hAnsiTheme="majorBidi"/>
        </w:rPr>
        <w:t xml:space="preserve"> to .</w:t>
      </w:r>
      <w:r>
        <w:rPr>
          <w:rFonts w:asciiTheme="majorBidi" w:hAnsiTheme="majorBidi"/>
        </w:rPr>
        <w:t>274</w:t>
      </w:r>
      <w:r w:rsidR="00F63633">
        <w:rPr>
          <w:rFonts w:asciiTheme="majorBidi" w:hAnsiTheme="majorBidi"/>
        </w:rPr>
        <w:t>)</w:t>
      </w:r>
      <w:r w:rsidR="00C15641">
        <w:rPr>
          <w:rFonts w:asciiTheme="majorBidi" w:hAnsiTheme="majorBidi"/>
        </w:rPr>
        <w:t xml:space="preserve"> and anxiety as outcomes </w:t>
      </w:r>
      <w:r w:rsidR="00C15641">
        <w:t>(</w:t>
      </w:r>
      <w:r w:rsidR="00C15641">
        <w:rPr>
          <w:rFonts w:asciiTheme="majorBidi" w:hAnsiTheme="majorBidi"/>
          <w:i/>
          <w:iCs/>
        </w:rPr>
        <w:t>Effect</w:t>
      </w:r>
      <w:r w:rsidR="00C15641">
        <w:rPr>
          <w:rFonts w:asciiTheme="majorBidi" w:hAnsiTheme="majorBidi"/>
        </w:rPr>
        <w:t xml:space="preserve"> = .089, </w:t>
      </w:r>
      <w:proofErr w:type="spellStart"/>
      <w:r w:rsidR="00C15641">
        <w:rPr>
          <w:rFonts w:asciiTheme="majorBidi" w:hAnsiTheme="majorBidi"/>
          <w:i/>
          <w:iCs/>
        </w:rPr>
        <w:t>BootSE</w:t>
      </w:r>
      <w:proofErr w:type="spellEnd"/>
      <w:r w:rsidR="00C15641">
        <w:rPr>
          <w:rFonts w:asciiTheme="majorBidi" w:hAnsiTheme="majorBidi"/>
          <w:i/>
          <w:iCs/>
        </w:rPr>
        <w:t xml:space="preserve"> </w:t>
      </w:r>
      <w:r w:rsidR="00C15641">
        <w:rPr>
          <w:rFonts w:asciiTheme="majorBidi" w:hAnsiTheme="majorBidi"/>
        </w:rPr>
        <w:t xml:space="preserve">= .329, </w:t>
      </w:r>
      <w:r w:rsidR="00C15641" w:rsidRPr="00FC2A89">
        <w:rPr>
          <w:rFonts w:asciiTheme="majorBidi" w:hAnsiTheme="majorBidi"/>
          <w:i/>
          <w:iCs/>
        </w:rPr>
        <w:t>BCa95%CI</w:t>
      </w:r>
      <w:r w:rsidR="00C15641">
        <w:rPr>
          <w:rFonts w:asciiTheme="majorBidi" w:hAnsiTheme="majorBidi"/>
        </w:rPr>
        <w:t>: -.802 to .620)</w:t>
      </w:r>
      <w:r w:rsidR="00F63633">
        <w:rPr>
          <w:rFonts w:asciiTheme="majorBidi" w:hAnsiTheme="majorBidi"/>
        </w:rPr>
        <w:t>.</w:t>
      </w:r>
    </w:p>
    <w:p w14:paraId="4F47B3D5" w14:textId="77777777" w:rsidR="00503D82" w:rsidRPr="00DB59D7" w:rsidRDefault="00503D82" w:rsidP="00503D82">
      <w:pPr>
        <w:pStyle w:val="Heading1"/>
        <w:spacing w:after="0"/>
      </w:pPr>
      <w:r w:rsidRPr="00DB59D7">
        <w:t>DISCUSSION</w:t>
      </w:r>
    </w:p>
    <w:p w14:paraId="414A1D33" w14:textId="5C6D8044" w:rsidR="004A76D4" w:rsidRPr="00235DE7" w:rsidRDefault="00A44221" w:rsidP="004A76D4">
      <w:pPr>
        <w:pStyle w:val="Normal1"/>
        <w:spacing w:after="0"/>
        <w:rPr>
          <w:lang w:val="en-IL"/>
        </w:rPr>
      </w:pPr>
      <w:r w:rsidRPr="00A44221">
        <w:tab/>
      </w:r>
      <w:r w:rsidR="00AC1E59">
        <w:t>Two</w:t>
      </w:r>
      <w:r w:rsidRPr="00A44221">
        <w:t xml:space="preserve"> effects were unexpected and may be noteworthy. First, within the serial mediation models, we did not observe significant associations between positive emotional reactivity (i.e., reduction in positive affect in response to listening to one’s self-referential thoughts) and difficulty disengaging attention from- (Study 1) or biased selective attention to- (Study 2) negative self-referential thoughts, nor evidence of serial mediation</w:t>
      </w:r>
      <w:r w:rsidR="00EF4C5E">
        <w:t xml:space="preserve"> (see main manuscript)</w:t>
      </w:r>
      <w:r w:rsidRPr="00A44221">
        <w:t xml:space="preserve">. Such effects were, however, observed for negative emotion reactivity. </w:t>
      </w:r>
      <w:r w:rsidR="007634BA" w:rsidRPr="00353E11">
        <w:t xml:space="preserve">Indeed, positive and negative reactivity are not related – degree of negative to one’s negative self-referential thoughts does not predict degree of reductions in positive emotion reactivity to those thoughts and vice-versa (see also </w:t>
      </w:r>
      <w:r w:rsidR="007634BA" w:rsidRPr="00353E11">
        <w:fldChar w:fldCharType="begin" w:fldLock="1"/>
      </w:r>
      <w:r w:rsidR="00D5401E">
        <w:instrText>ADDIN CSL_CITATION {"citationItems":[{"id":"ITEM-1","itemData":{"DOI":"10.1111/1467-9280.00157","ISSN":"0956-7976","abstract":"Green, Goldman, and Salovey (1993) challenged the view that ?positive affect? and ?negative affect? are largely uncorrelated dimensions. On the basis of factor analytic studies of happiness and sadness, and of positive and negative emotional activation (PA and NA), they claimed that a ?largely bipolar structure of affect? (p. 1029) emerges when random and nonrandom error are taken into account. A reappraisal of their own findings and confirmatory analysis of additional data do not support this claim. Happiness and sadness form a largely unidimensional bipolar structure, but PA and NA are relatively independent. However, exploratory analyses yield a three-level hierarchy incorporating in one structure a general bipolar Happiness-Versus-Unhappiness dimension, the relatively independent PA and NA dimensions at the level below it, and discrete emotions at the base. We emphasize the heuristic value of a hierarchical perspective.","author":[{"dropping-particle":"","family":"Tellegen","given":"Auke","non-dropping-particle":"","parse-names":false,"suffix":""},{"dropping-particle":"","family":"Watson","given":"David","non-dropping-particle":"","parse-names":false,"suffix":""},{"dropping-particle":"","family":"Clark","given":"Lee Anna","non-dropping-particle":"","parse-names":false,"suffix":""}],"container-title":"Psychological Science","id":"ITEM-1","issue":"4","issued":{"date-parts":[["1999","7","1"]]},"note":"doi: 10.1111/1467-9280.00157","page":"297-303","publisher":"SAGE Publications Inc","title":"On the Dimensional and Hierarchical Structure of Affect","type":"article-journal","volume":"10"},"uris":["http://www.mendeley.com/documents/?uuid=02658a1b-5ab6-47af-b28a-0a3c73f3fd8c"]}],"mendeley":{"formattedCitation":"&lt;sup&gt;10&lt;/sup&gt;","plainTextFormattedCitation":"10","previouslyFormattedCitation":"&lt;sup&gt;10&lt;/sup&gt;"},"properties":{"noteIndex":0},"schema":"https://github.com/citation-style-language/schema/raw/master/csl-citation.json"}</w:instrText>
      </w:r>
      <w:r w:rsidR="007634BA" w:rsidRPr="00353E11">
        <w:fldChar w:fldCharType="separate"/>
      </w:r>
      <w:r w:rsidR="00D5401E" w:rsidRPr="00D5401E">
        <w:rPr>
          <w:noProof/>
          <w:vertAlign w:val="superscript"/>
        </w:rPr>
        <w:t>10</w:t>
      </w:r>
      <w:r w:rsidR="007634BA" w:rsidRPr="00353E11">
        <w:fldChar w:fldCharType="end"/>
      </w:r>
      <w:r w:rsidR="007634BA" w:rsidRPr="00353E11">
        <w:t xml:space="preserve">). Accordingly, serial mediation findings indicate that positive and negative emotion in </w:t>
      </w:r>
      <w:r w:rsidR="007634BA" w:rsidRPr="00353E11">
        <w:lastRenderedPageBreak/>
        <w:t xml:space="preserve">response to negative self-referential thoughts may thus serve distinct functions with respect “lower-order” (internal attentional disengagement) and “higher-order” cognitive vulnerability and, in turn, depression and anxiety </w:t>
      </w:r>
      <w:r w:rsidR="007634BA" w:rsidRPr="00F362A5">
        <w:fldChar w:fldCharType="begin" w:fldLock="1"/>
      </w:r>
      <w:r w:rsidR="00D5401E">
        <w:instrText>ADDIN CSL_CITATION {"citationItems":[{"id":"ITEM-1","itemData":{"DOI":"10.1037/0022-3514.76.5.820","ISSN":"1939-1315(Electronic),0022-3514(Print)","abstract":"D. Watson and A. Tellegen (1985) proposed a \"consensual\" structure of affect based on J. A. Russell's (1980) circumplex. The authors' review of the literature indicates that this 2-factor model captures robust structural properties of self-rated mood. Nevertheless, the evidence also indicates that the circumplex does not fit the data closely and needs to be refined. Most notably, the model's dimensions are not entirely independent; moreover, with the exception of Pleasantness–Unpleasantness, they are not completely bipolar. More generally, the data suggest a model that falls somewhere between classic simple structure and a true circumplex. The authors then examine two of the dimensions imbedded in this structure, which they label Negative Activation (NA) and Positive Activation (PA). The authors argue that PA and NA represent the subjective components of broader biobehavioral systems of approach and withdrawal, respectively. The authors conclude by demonstrating how this framework helps to clarify various affect-related phenomena, including circadian rhythms, sleep, and the mood disorders. (PsycINFO Database Record (c) 2016 APA, all rights reserved)","author":[{"dropping-particle":"","family":"Watson","given":"David","non-dropping-particle":"","parse-names":false,"suffix":""},{"dropping-particle":"","family":"Wiese","given":"David","non-dropping-particle":"","parse-names":false,"suffix":""},{"dropping-particle":"","family":"Vaidya","given":"Jatin","non-dropping-particle":"","parse-names":false,"suffix":""},{"dropping-particle":"","family":"Tellegen","given":"Auke","non-dropping-particle":"","parse-names":false,"suffix":""}],"container-title":"Journal of Personality and Social Psychology","id":"ITEM-1","issue":"5","issued":{"date-parts":[["1999"]]},"page":"820-838","publisher":"American Psychological Association","publisher-place":"US","title":"The two general activation systems of affect: Structural findings, evolutionary considerations, and psychobiological evidence.","type":"article-journal","volume":"76"},"uris":["http://www.mendeley.com/documents/?uuid=b85f079b-410e-4fd5-b46a-900ed75339f4"]}],"mendeley":{"formattedCitation":"&lt;sup&gt;11&lt;/sup&gt;","plainTextFormattedCitation":"11","previouslyFormattedCitation":"&lt;sup&gt;11&lt;/sup&gt;"},"properties":{"noteIndex":0},"schema":"https://github.com/citation-style-language/schema/raw/master/csl-citation.json"}</w:instrText>
      </w:r>
      <w:r w:rsidR="007634BA" w:rsidRPr="00F362A5">
        <w:fldChar w:fldCharType="separate"/>
      </w:r>
      <w:r w:rsidR="00D5401E" w:rsidRPr="00D5401E">
        <w:rPr>
          <w:noProof/>
          <w:vertAlign w:val="superscript"/>
        </w:rPr>
        <w:t>11</w:t>
      </w:r>
      <w:r w:rsidR="007634BA" w:rsidRPr="00F362A5">
        <w:fldChar w:fldCharType="end"/>
      </w:r>
      <w:r w:rsidR="007634BA" w:rsidRPr="00F362A5">
        <w:t>.</w:t>
      </w:r>
      <w:r w:rsidR="007634BA">
        <w:t xml:space="preserve"> </w:t>
      </w:r>
      <w:r w:rsidRPr="00A44221">
        <w:t xml:space="preserve">One </w:t>
      </w:r>
      <w:r w:rsidRPr="00A44221">
        <w:rPr>
          <w:i/>
          <w:iCs/>
        </w:rPr>
        <w:t>post-hoc</w:t>
      </w:r>
      <w:r w:rsidRPr="00A44221">
        <w:t xml:space="preserve"> hypothesis of the difference between the null mediation model pathways relative to the significant zero-order associations is that variance in these processes linked to positive emotional reactivity is orthogonal from that accounted for by negative emotional reactivity.</w:t>
      </w:r>
      <w:r w:rsidR="007634BA">
        <w:t xml:space="preserve"> For example, w</w:t>
      </w:r>
      <w:r w:rsidR="007634BA" w:rsidRPr="00AF2C81">
        <w:t>hereas elevated negative emotion in response to threat or danger may function to capture attention</w:t>
      </w:r>
      <w:r w:rsidR="007634BA">
        <w:t xml:space="preserve"> </w:t>
      </w:r>
      <w:r w:rsidR="007634BA">
        <w:fldChar w:fldCharType="begin" w:fldLock="1"/>
      </w:r>
      <w:r w:rsidR="00D5401E">
        <w:instrText>ADDIN CSL_CITATION {"citationItems":[{"id":"ITEM-1","itemData":{"DOI":"10.1037/0096-3445.130.3.466","ISBN":"1939-2222(Electronic),0096-3445(Print)","abstract":"Participants searched for discrepant fear-relevant pictures (snakes or spiders) in grid-pattern arrays of fear-irrelevant pictures belonging to the same category (flowers or mushrooms) and vice versa. Fear-relevant pictures were found more quickly than fear-irrelevant ones. Fear-relevant, but not fear-irrelevant, search was unaffected by the location of the target in the display and by the number of distractors, which suggests parallel search for fear-relevant targets and serial search for fear-irrelevant targets. Participants specifically fearful of snakes but not spiders (or vice versa) showed facilitated search for the feared objects but did not differ from controls in search for nonfeared fear-relevant or fear-irrelevant, targets. Thus, evolutionary relevant threatening stimuli were effective in capturing attention, and this effect was further facilitated if the stimulus was emotionally provocative. (PsycINFO Database Record (c) 2016 APA, all rights reserved)","author":[{"dropping-particle":"","family":"Öhman","given":"Arne","non-dropping-particle":"","parse-names":false,"suffix":""},{"dropping-particle":"","family":"Flykt","given":"Anders","non-dropping-particle":"","parse-names":false,"suffix":""},{"dropping-particle":"","family":"Esteves","given":"Francisco","non-dropping-particle":"","parse-names":false,"suffix":""}],"container-title":"Journal of Experimental Psychology: General","id":"ITEM-1","issue":"3","issued":{"date-parts":[["2001"]]},"page":"466-478","publisher":"American Psychological Association","publisher-place":"US","title":"Emotion drives attention: Detecting the snake in the grass.","type":"article","volume":"130"},"uris":["http://www.mendeley.com/documents/?uuid=76a188f7-8f9d-4185-81a1-228064c7e471"]}],"mendeley":{"formattedCitation":"&lt;sup&gt;12&lt;/sup&gt;","plainTextFormattedCitation":"12","previouslyFormattedCitation":"&lt;sup&gt;12&lt;/sup&gt;"},"properties":{"noteIndex":0},"schema":"https://github.com/citation-style-language/schema/raw/master/csl-citation.json"}</w:instrText>
      </w:r>
      <w:r w:rsidR="007634BA">
        <w:fldChar w:fldCharType="separate"/>
      </w:r>
      <w:r w:rsidR="00D5401E" w:rsidRPr="00D5401E">
        <w:rPr>
          <w:noProof/>
          <w:vertAlign w:val="superscript"/>
        </w:rPr>
        <w:t>12</w:t>
      </w:r>
      <w:r w:rsidR="007634BA">
        <w:fldChar w:fldCharType="end"/>
      </w:r>
      <w:r w:rsidR="007634BA">
        <w:t>,</w:t>
      </w:r>
      <w:r w:rsidR="007634BA" w:rsidRPr="00AF2C81">
        <w:t xml:space="preserve"> such as by narrowing the scope of (internal) attention to mood congruent information </w:t>
      </w:r>
      <w:r w:rsidR="007634BA">
        <w:t xml:space="preserve">and related attentional dyscontrol processes </w:t>
      </w:r>
      <w:r w:rsidR="007634BA">
        <w:fldChar w:fldCharType="begin" w:fldLock="1"/>
      </w:r>
      <w:r w:rsidR="00D5401E">
        <w:instrText>ADDIN CSL_CITATION {"citationItems":[{"id":"ITEM-1","itemData":{"DOI":"10.1016/J.BIOPSYCHO.2010.09.005","ISSN":"0301-0511","abstract":"Vagal tone (VT), an index of autonomic flexibility, is linked to social and psychological well-being. We posit that the association between VT and well-being reflects an “upward spiral” in which autonomic flexibility, represented by VT, facilitates capitalizing on social and emotional opportunities and the resulting opportunistic gains, in turn, lead to higher VT. Community-dwelling adults were asked to monitor and report their positive emotions and the degree to which they felt socially connected each day for 9 weeks. VT was measured at the beginning and end of the 9-week period. Adults who possessed higher initial levels of VT increased in connectedness and positive emotions more rapidly than others. Furthermore, increases in connectedness and positive emotions predicted increases in VT, independent of initial VT level. This evidence is consistent with an “upward spiral” relationship of reciprocal causality, in which VT and psychosocial well-being reciprocally and prospectively predict one another.","author":[{"dropping-particle":"","family":"Kok","given":"Bethany E.","non-dropping-particle":"","parse-names":false,"suffix":""},{"dropping-particle":"","family":"Fredrickson","given":"Barbara L.","non-dropping-particle":"","parse-names":false,"suffix":""}],"container-title":"Biological Psychology","id":"ITEM-1","issue":"3","issued":{"date-parts":[["2010","12","1"]]},"page":"432-436","publisher":"Elsevier","title":"Upward spirals of the heart: Autonomic flexibility, as indexed by vagal tone, reciprocally and prospectively predicts positive emotions and social connectedness","type":"article-journal","volume":"85"},"uris":["http://www.mendeley.com/documents/?uuid=643cf136-c0a0-3e3c-816f-fa3ac895afde"]},{"id":"ITEM-2","itemData":{"DOI":"10.1146/annurev.ps.45.020194.000325","ISBN":"1-57230-922-9","ISSN":"0066-4308","abstract":"Extract: In the lead essay for the 2001 issue of the Annual Review of Psychology, Albert Bandura noted that a paradigm shift has occurred in the field in the past few decades. Psychology no longer views human behavior only as a set of predetermined responses to environment, or as the output of a complexly programmed computer; instead, people are recognized as agents capable of performing intentional acts with a view toward achieving goals that are congruent with a particular set of beliefs. In this view, belief systems are pivotal, as they provide people with a working model of the world that helps them make behavioral choices. Under this paradigm, research on all aspects of cognition has flourished and a number of intriguing theoretical frameworks have been advanced. As Andresen (2001) notes, this productive climate offers great opportunities to develop cognitive approaches to the study of religion. In spite of these opportunities, cognitive- psychological research on religion remains-with a few exceptions-sporadic and incompletely connected: it is indicative that of the 10 contributors to the Andresen volume, just one is a psychologist (Barrett) and just one is a psychiatrist (McNamara). The fields of anthropology and comparative religion are heavily represented in current cognitive research, with important contributions from sociology, philosophy, and cognitive neuroscience. The good news for psychologists of religion who feel they may be toiling in obscurity (Pargament, 2002) is that there are some exciting opportunities for collegiality beyond our own backyard. This chapter illuminates some of the connections between existing lines of work and suggest ways in which researchers might capitalize, within and across disciplinary lines, on the field's developments to date. In the first sections, I introduce current cognitive models and briefly describe research on religion that has looked at some aspect of that model. The following sections describe the main directions cognitive research on religion has taken in the last several years and questions that remain open in each. The concluding section reviews some of the cutting-edge issues in cognitive research and suggests ways in which these might be applied to research on religion, to the benefit of both.","author":[{"dropping-particle":"","family":"Mathews","given":"A.","non-dropping-particle":"","parse-names":false,"suffix":""},{"dropping-particle":"","family":"MacLeod","given":"C","non-dropping-particle":"","parse-names":false,"suffix":""}],"container-title":"Annual Review of Psychology","id":"ITEM-2","issue":"1","issued":{"date-parts":[["1994","1","1"]]},"note":"From Duplicate 2 (Cognitive Approaches to Emotion and Emotional Disorders - Mathews, A; MacLeod, C)\n\ndoi: 10.1146/annurev.ps.45.020194.000325","page":"25-50","publisher":"Annual Reviews","title":"Cognitive Approaches to Emotion and Emotional Disorders","type":"article-journal","volume":"45"},"uris":["http://www.mendeley.com/documents/?uuid=3730f182-bd38-4e74-954b-33c757fef511"]},{"id":"ITEM-3","itemData":{"DOI":"10.1037/a0030923","ISBN":"0033-2909","ISSN":"00332909","PMID":"23244316","abstract":"Rumination, defined as repetitive thinking about negative information, has been found to lead to serious maladaptive consequences, including longer and more severe episodes of major depression. In this review, we present and discuss research findings motivated by the formulation that individual differences in cognitive processes that control how information is processed influence the likelihood that thoughts will become repetitive and negative. Several studies have demonstrated that a tendency to ruminate (i.e., trait rumination) is related to difficulties updating working memory (WM) and disengaging from and forgetting no-longer-relevant information. Other investigators have documented that trait rumination is also associated with an enhanced ability to ignore distracting information and with more stable maintenance of task-relevant information. In contrast to trait rumination, a state of rumination has been found to be related to widespread deficits in cognitive control. In this article, we discuss how the current accounts of control functioning cannot explain this pattern of anomalous control functioning. To explain these findings, including unexpected and contradictory results, we present an attentional scope model of rumination that posits that a constricted array of thoughts, percepts, and actions that are activated in WM or available for selection from long-term memory affects the control functioning of trait ruminators. This model explains, at a cognitive level, why rumination is particularly likely to arise when individuals are in a negative mood state; it also accounts for a number of findings outside of the rumination-control literature and generates several novel predictions.","author":[{"dropping-particle":"","family":"Whitmer","given":"Anson J.","non-dropping-particle":"","parse-names":false,"suffix":""},{"dropping-particle":"","family":"Gotlib","given":"Ian H.","non-dropping-particle":"","parse-names":false,"suffix":""}],"container-title":"Psychological Bulletin","id":"ITEM-3","issue":"5","issued":{"date-parts":[["2013"]]},"page":"1036-1061","title":"An attentional scope model of rumination","type":"article-journal","volume":"139"},"uris":["http://www.mendeley.com/documents/?uuid=fbfdb4d1-f746-4774-8048-dfc079cacac1"]}],"mendeley":{"formattedCitation":"&lt;sup&gt;13–15&lt;/sup&gt;","plainTextFormattedCitation":"13–15","previouslyFormattedCitation":"&lt;sup&gt;13–15&lt;/sup&gt;"},"properties":{"noteIndex":0},"schema":"https://github.com/citation-style-language/schema/raw/master/csl-citation.json"}</w:instrText>
      </w:r>
      <w:r w:rsidR="007634BA">
        <w:fldChar w:fldCharType="separate"/>
      </w:r>
      <w:r w:rsidR="00D5401E" w:rsidRPr="00D5401E">
        <w:rPr>
          <w:noProof/>
          <w:vertAlign w:val="superscript"/>
        </w:rPr>
        <w:t>13–15</w:t>
      </w:r>
      <w:r w:rsidR="007634BA">
        <w:fldChar w:fldCharType="end"/>
      </w:r>
      <w:r w:rsidR="007634BA" w:rsidRPr="00BE1AF9">
        <w:t xml:space="preserve"> and thereby cognitive vulnerability and symptoms, </w:t>
      </w:r>
      <w:r w:rsidR="007634BA" w:rsidRPr="00AF2C81">
        <w:t>reduced positive emotion may not serve the same function</w:t>
      </w:r>
      <w:r w:rsidR="007634BA">
        <w:t xml:space="preserve"> </w:t>
      </w:r>
      <w:r w:rsidR="007634BA">
        <w:fldChar w:fldCharType="begin" w:fldLock="1"/>
      </w:r>
      <w:r w:rsidR="00D5401E">
        <w:instrText>ADDIN CSL_CITATION {"citationItems":[{"id":"ITEM-1","itemData":{"DOI":"10.1016/j.cpr.2013.01.003","ISBN":"0272-7358","ISSN":"02727358","PMID":"23399829","abstract":"Conceptualizations of emotion regulation have led to the identification of cognitive and behavioral regulatory abnormalities that contribute to the development and maintenance of emotional disorders. However, existing research on emotion regulation in anxiety and mood disorders has primarily focused on the regulation of negative emotions rather than positive emotions. Recent findings indicate that disturbances in positive emotion regulation occur across emotional disorders, and may be a generative target for treatment research. The aims of this paper are to: 1. Present a transdiagnostic model of positive emotion disturbances in emotional disorders; 2. Review evidence for disturbances in positive emotion regulation in emotional disorders across categories of emotion regulation; and 3. Propose treatment strategies that may address these disturbances. © 2013 Elsevier Ltd.","author":[{"dropping-particle":"","family":"Carl","given":"Jenna R.","non-dropping-particle":"","parse-names":false,"suffix":""},{"dropping-particle":"","family":"Soskin","given":"David P.","non-dropping-particle":"","parse-names":false,"suffix":""},{"dropping-particle":"","family":"Kerns","given":"Caroline","non-dropping-particle":"","parse-names":false,"suffix":""},{"dropping-particle":"","family":"Barlow","given":"David H.","non-dropping-particle":"","parse-names":false,"suffix":""}],"container-title":"Clinical Psychology Review","id":"ITEM-1","issue":"3","issued":{"date-parts":[["2013"]]},"page":"343-360","publisher":"Elsevier Ltd","title":"Positive emotion regulation in emotional disorders: A theoretical review","type":"article-journal","volume":"33"},"uris":["http://www.mendeley.com/documents/?uuid=8951a11d-ed80-4c37-b3d2-24266343517e"]}],"mendeley":{"formattedCitation":"&lt;sup&gt;16&lt;/sup&gt;","plainTextFormattedCitation":"16","previouslyFormattedCitation":"&lt;sup&gt;16&lt;/sup&gt;"},"properties":{"noteIndex":0},"schema":"https://github.com/citation-style-language/schema/raw/master/csl-citation.json"}</w:instrText>
      </w:r>
      <w:r w:rsidR="007634BA">
        <w:fldChar w:fldCharType="separate"/>
      </w:r>
      <w:r w:rsidR="00D5401E" w:rsidRPr="00D5401E">
        <w:rPr>
          <w:noProof/>
          <w:vertAlign w:val="superscript"/>
        </w:rPr>
        <w:t>16</w:t>
      </w:r>
      <w:r w:rsidR="007634BA">
        <w:fldChar w:fldCharType="end"/>
      </w:r>
      <w:r w:rsidR="007634BA" w:rsidRPr="00AF2C81">
        <w:t>. Instead, positive emotion reactivity may be linked to cognitive vulnerability and symptomatology via processes that may unfold over longer periods of time such as behavioral withdrawal or autonomic inflexibility</w:t>
      </w:r>
      <w:r w:rsidR="007634BA">
        <w:t xml:space="preserve"> </w:t>
      </w:r>
      <w:r w:rsidR="007634BA">
        <w:fldChar w:fldCharType="begin" w:fldLock="1"/>
      </w:r>
      <w:r w:rsidR="00D5401E">
        <w:instrText>ADDIN CSL_CITATION {"citationItems":[{"id":"ITEM-1","itemData":{"DOI":"10.1016/J.BIOPSYCHO.2010.09.005","ISSN":"0301-0511","abstract":"Vagal tone (VT), an index of autonomic flexibility, is linked to social and psychological well-being. We posit that the association between VT and well-being reflects an “upward spiral” in which autonomic flexibility, represented by VT, facilitates capitalizing on social and emotional opportunities and the resulting opportunistic gains, in turn, lead to higher VT. Community-dwelling adults were asked to monitor and report their positive emotions and the degree to which they felt socially connected each day for 9 weeks. VT was measured at the beginning and end of the 9-week period. Adults who possessed higher initial levels of VT increased in connectedness and positive emotions more rapidly than others. Furthermore, increases in connectedness and positive emotions predicted increases in VT, independent of initial VT level. This evidence is consistent with an “upward spiral” relationship of reciprocal causality, in which VT and psychosocial well-being reciprocally and prospectively predict one another.","author":[{"dropping-particle":"","family":"Kok","given":"Bethany E.","non-dropping-particle":"","parse-names":false,"suffix":""},{"dropping-particle":"","family":"Fredrickson","given":"Barbara L.","non-dropping-particle":"","parse-names":false,"suffix":""}],"container-title":"Biological Psychology","id":"ITEM-1","issue":"3","issued":{"date-parts":[["2010","12","1"]]},"page":"432-436","publisher":"Elsevier","title":"Upward spirals of the heart: Autonomic flexibility, as indexed by vagal tone, reciprocally and prospectively predicts positive emotions and social connectedness","type":"article-journal","volume":"85"},"uris":["http://www.mendeley.com/documents/?uuid=643cf136-c0a0-3e3c-816f-fa3ac895afde"]},{"id":"ITEM-2","itemData":{"DOI":"10.1111/1467-9280.00157","ISSN":"0956-7976","abstract":"Green, Goldman, and Salovey (1993) challenged the view that ?positive affect? and ?negative affect? are largely uncorrelated dimensions. On the basis of factor analytic studies of happiness and sadness, and of positive and negative emotional activation (PA and NA), they claimed that a ?largely bipolar structure of affect? (p. 1029) emerges when random and nonrandom error are taken into account. A reappraisal of their own findings and confirmatory analysis of additional data do not support this claim. Happiness and sadness form a largely unidimensional bipolar structure, but PA and NA are relatively independent. However, exploratory analyses yield a three-level hierarchy incorporating in one structure a general bipolar Happiness-Versus-Unhappiness dimension, the relatively independent PA and NA dimensions at the level below it, and discrete emotions at the base. We emphasize the heuristic value of a hierarchical perspective.","author":[{"dropping-particle":"","family":"Tellegen","given":"Auke","non-dropping-particle":"","parse-names":false,"suffix":""},{"dropping-particle":"","family":"Watson","given":"David","non-dropping-particle":"","parse-names":false,"suffix":""},{"dropping-particle":"","family":"Clark","given":"Lee Anna","non-dropping-particle":"","parse-names":false,"suffix":""}],"container-title":"Psychological Science","id":"ITEM-2","issue":"4","issued":{"date-parts":[["1999","7","1"]]},"note":"doi: 10.1111/1467-9280.00157","page":"297-303","publisher":"SAGE Publications Inc","title":"On the Dimensional and Hierarchical Structure of Affect","type":"article-journal","volume":"10"},"uris":["http://www.mendeley.com/documents/?uuid=02658a1b-5ab6-47af-b28a-0a3c73f3fd8c"]}],"mendeley":{"formattedCitation":"&lt;sup&gt;10,13&lt;/sup&gt;","plainTextFormattedCitation":"10,13","previouslyFormattedCitation":"&lt;sup&gt;10,13&lt;/sup&gt;"},"properties":{"noteIndex":0},"schema":"https://github.com/citation-style-language/schema/raw/master/csl-citation.json"}</w:instrText>
      </w:r>
      <w:r w:rsidR="007634BA">
        <w:fldChar w:fldCharType="separate"/>
      </w:r>
      <w:r w:rsidR="00D5401E" w:rsidRPr="00D5401E">
        <w:rPr>
          <w:noProof/>
          <w:vertAlign w:val="superscript"/>
        </w:rPr>
        <w:t>10,13</w:t>
      </w:r>
      <w:r w:rsidR="007634BA">
        <w:fldChar w:fldCharType="end"/>
      </w:r>
      <w:r w:rsidR="007634BA" w:rsidRPr="00EF4C5E">
        <w:t>. Largely post-hoc speculation, this theorizing may represent a promising direction for further investigation of emotion, attention dyscontrol, and cognitive vulnerability in mental health. However</w:t>
      </w:r>
      <w:r w:rsidR="007634BA">
        <w:t>, Study 2 correlations between positive emotional reactivity and brooding and repetitive negative thinking cast doubt over this post-hoc hypothesis.</w:t>
      </w:r>
      <w:r w:rsidR="00AC1E59" w:rsidRPr="00AC1E59">
        <w:t xml:space="preserve"> </w:t>
      </w:r>
      <w:bookmarkStart w:id="0" w:name="_Hlk55116826"/>
      <w:r w:rsidR="004A76D4" w:rsidRPr="00BA3429">
        <w:rPr>
          <w:lang w:val="en-IL"/>
        </w:rPr>
        <w:t xml:space="preserve">An additional unexpected finding of interest relates to an inconsistency between </w:t>
      </w:r>
      <w:r w:rsidR="004A76D4">
        <w:t>s</w:t>
      </w:r>
      <w:proofErr w:type="spellStart"/>
      <w:r w:rsidR="004A76D4" w:rsidRPr="00BA3429">
        <w:rPr>
          <w:lang w:val="en-IL"/>
        </w:rPr>
        <w:t>tud</w:t>
      </w:r>
      <w:r w:rsidR="004A76D4">
        <w:t>ies</w:t>
      </w:r>
      <w:proofErr w:type="spellEnd"/>
      <w:r w:rsidR="004A76D4" w:rsidRPr="00BA3429">
        <w:rPr>
          <w:lang w:val="en-IL"/>
        </w:rPr>
        <w:t xml:space="preserve"> 1 and 2 in the association between dysregulated attention and brooding. In Study 1 we observed a significant positive association between difficulty disengaging internal attention from negative self-referential thoughts and brooding. In Study 2 we did not find a significant association between biased selective attention to negative thoughts and brooding. However, </w:t>
      </w:r>
      <w:r w:rsidR="004A76D4">
        <w:t xml:space="preserve">positive </w:t>
      </w:r>
      <w:r w:rsidR="004A76D4" w:rsidRPr="00BA3429">
        <w:rPr>
          <w:lang w:val="en-IL"/>
        </w:rPr>
        <w:t xml:space="preserve">zero-order correlations were statistically significant in both studies. </w:t>
      </w:r>
      <w:bookmarkStart w:id="1" w:name="_Hlk58157311"/>
      <w:r w:rsidR="004A76D4" w:rsidRPr="00BA3429">
        <w:rPr>
          <w:lang w:val="en-IL"/>
        </w:rPr>
        <w:t>This suggests that</w:t>
      </w:r>
      <w:r w:rsidR="004A76D4">
        <w:rPr>
          <w:lang w:val="en-IL"/>
        </w:rPr>
        <w:t>,</w:t>
      </w:r>
      <w:r w:rsidR="004A76D4" w:rsidRPr="00BA3429">
        <w:rPr>
          <w:lang w:val="en-IL"/>
        </w:rPr>
        <w:t xml:space="preserve"> </w:t>
      </w:r>
      <w:r w:rsidR="004A76D4">
        <w:rPr>
          <w:lang w:val="en-IL"/>
        </w:rPr>
        <w:t>in so far as internal attentional processes implicated,</w:t>
      </w:r>
      <w:r w:rsidR="004A76D4" w:rsidRPr="00BA3429">
        <w:rPr>
          <w:lang w:val="en-IL"/>
        </w:rPr>
        <w:t xml:space="preserve"> </w:t>
      </w:r>
      <w:r w:rsidR="004A76D4" w:rsidRPr="00BA3429">
        <w:rPr>
          <w:lang w:val="en-IL"/>
        </w:rPr>
        <w:lastRenderedPageBreak/>
        <w:t>difficulty disengaging attention from negative thoughts seems to be the main mediating process between reactivity and brooding</w:t>
      </w:r>
      <w:bookmarkEnd w:id="1"/>
      <w:r w:rsidR="004A76D4" w:rsidRPr="00BA3429">
        <w:rPr>
          <w:lang w:val="en-IL"/>
        </w:rPr>
        <w:t>.</w:t>
      </w:r>
      <w:r w:rsidR="004A76D4">
        <w:rPr>
          <w:lang w:val="en-IL"/>
        </w:rPr>
        <w:t xml:space="preserve"> </w:t>
      </w:r>
    </w:p>
    <w:bookmarkEnd w:id="0"/>
    <w:p w14:paraId="4BF0B8C6" w14:textId="534EF994" w:rsidR="00E32F6F" w:rsidRPr="007634BA" w:rsidRDefault="00E32F6F" w:rsidP="00503D82">
      <w:pPr>
        <w:ind w:firstLine="0"/>
        <w:rPr>
          <w:rtl/>
        </w:rPr>
      </w:pPr>
    </w:p>
    <w:p w14:paraId="4A650886" w14:textId="77777777" w:rsidR="00D9435F" w:rsidRDefault="00864E71" w:rsidP="00354C6E">
      <w:r>
        <w:br w:type="page"/>
      </w:r>
    </w:p>
    <w:p w14:paraId="6677414E" w14:textId="4FF7ADAD" w:rsidR="00FD5F38" w:rsidRDefault="00D5401E" w:rsidP="00D5401E">
      <w:pPr>
        <w:pStyle w:val="Heading1"/>
      </w:pPr>
      <w:r>
        <w:lastRenderedPageBreak/>
        <w:t>References</w:t>
      </w:r>
    </w:p>
    <w:p w14:paraId="2B12E0B7" w14:textId="7A4769A8" w:rsidR="008416BC" w:rsidRPr="008416BC" w:rsidRDefault="00D5401E" w:rsidP="008416BC">
      <w:pPr>
        <w:widowControl w:val="0"/>
        <w:autoSpaceDE w:val="0"/>
        <w:autoSpaceDN w:val="0"/>
        <w:adjustRightInd w:val="0"/>
        <w:ind w:left="640" w:hanging="640"/>
        <w:rPr>
          <w:rFonts w:ascii="Times New Roman" w:hAnsi="Times New Roman" w:cs="Times New Roman"/>
          <w:noProof/>
        </w:rPr>
      </w:pPr>
      <w:r>
        <w:fldChar w:fldCharType="begin" w:fldLock="1"/>
      </w:r>
      <w:r>
        <w:instrText xml:space="preserve">ADDIN Mendeley Bibliography CSL_BIBLIOGRAPHY </w:instrText>
      </w:r>
      <w:r>
        <w:fldChar w:fldCharType="separate"/>
      </w:r>
      <w:r w:rsidR="008416BC" w:rsidRPr="008416BC">
        <w:rPr>
          <w:rFonts w:ascii="Times New Roman" w:hAnsi="Times New Roman" w:cs="Times New Roman"/>
          <w:noProof/>
        </w:rPr>
        <w:t>1.</w:t>
      </w:r>
      <w:r w:rsidR="008416BC" w:rsidRPr="008416BC">
        <w:rPr>
          <w:rFonts w:ascii="Times New Roman" w:hAnsi="Times New Roman" w:cs="Times New Roman"/>
          <w:noProof/>
        </w:rPr>
        <w:tab/>
        <w:t xml:space="preserve">Beck, A. T., Steer, R. A. &amp; Garbin, M. G. Psychometric properties of the Beck Depression Inventory. </w:t>
      </w:r>
      <w:r w:rsidR="008416BC" w:rsidRPr="008416BC">
        <w:rPr>
          <w:rFonts w:ascii="Times New Roman" w:hAnsi="Times New Roman" w:cs="Times New Roman"/>
          <w:i/>
          <w:iCs/>
          <w:noProof/>
        </w:rPr>
        <w:t>Clin. Psychol. Rev.</w:t>
      </w:r>
      <w:r w:rsidR="008416BC" w:rsidRPr="008416BC">
        <w:rPr>
          <w:rFonts w:ascii="Times New Roman" w:hAnsi="Times New Roman" w:cs="Times New Roman"/>
          <w:noProof/>
        </w:rPr>
        <w:t xml:space="preserve"> </w:t>
      </w:r>
      <w:r w:rsidR="008416BC" w:rsidRPr="008416BC">
        <w:rPr>
          <w:rFonts w:ascii="Times New Roman" w:hAnsi="Times New Roman" w:cs="Times New Roman"/>
          <w:b/>
          <w:bCs/>
          <w:noProof/>
        </w:rPr>
        <w:t>42</w:t>
      </w:r>
      <w:r w:rsidR="008416BC" w:rsidRPr="008416BC">
        <w:rPr>
          <w:rFonts w:ascii="Times New Roman" w:hAnsi="Times New Roman" w:cs="Times New Roman"/>
          <w:noProof/>
        </w:rPr>
        <w:t>, 841–865 (1998).</w:t>
      </w:r>
    </w:p>
    <w:p w14:paraId="0E43A533" w14:textId="77777777" w:rsidR="008416BC" w:rsidRPr="008416BC" w:rsidRDefault="008416BC" w:rsidP="008416BC">
      <w:pPr>
        <w:widowControl w:val="0"/>
        <w:autoSpaceDE w:val="0"/>
        <w:autoSpaceDN w:val="0"/>
        <w:adjustRightInd w:val="0"/>
        <w:ind w:left="640" w:hanging="640"/>
        <w:rPr>
          <w:rFonts w:ascii="Times New Roman" w:hAnsi="Times New Roman" w:cs="Times New Roman"/>
          <w:noProof/>
        </w:rPr>
      </w:pPr>
      <w:r w:rsidRPr="008416BC">
        <w:rPr>
          <w:rFonts w:ascii="Times New Roman" w:hAnsi="Times New Roman" w:cs="Times New Roman"/>
          <w:noProof/>
        </w:rPr>
        <w:t>2.</w:t>
      </w:r>
      <w:r w:rsidRPr="008416BC">
        <w:rPr>
          <w:rFonts w:ascii="Times New Roman" w:hAnsi="Times New Roman" w:cs="Times New Roman"/>
          <w:noProof/>
        </w:rPr>
        <w:tab/>
        <w:t xml:space="preserve">Treynor, W., Gonzalez, R. &amp; Nolen-Hoeksema, S. Rumination Reconsidered: A Psychometric Analysis. </w:t>
      </w:r>
      <w:r w:rsidRPr="008416BC">
        <w:rPr>
          <w:rFonts w:ascii="Times New Roman" w:hAnsi="Times New Roman" w:cs="Times New Roman"/>
          <w:i/>
          <w:iCs/>
          <w:noProof/>
        </w:rPr>
        <w:t>Cognit. Ther. Res.</w:t>
      </w:r>
      <w:r w:rsidRPr="008416BC">
        <w:rPr>
          <w:rFonts w:ascii="Times New Roman" w:hAnsi="Times New Roman" w:cs="Times New Roman"/>
          <w:noProof/>
        </w:rPr>
        <w:t xml:space="preserve"> </w:t>
      </w:r>
      <w:r w:rsidRPr="008416BC">
        <w:rPr>
          <w:rFonts w:ascii="Times New Roman" w:hAnsi="Times New Roman" w:cs="Times New Roman"/>
          <w:b/>
          <w:bCs/>
          <w:noProof/>
        </w:rPr>
        <w:t>27</w:t>
      </w:r>
      <w:r w:rsidRPr="008416BC">
        <w:rPr>
          <w:rFonts w:ascii="Times New Roman" w:hAnsi="Times New Roman" w:cs="Times New Roman"/>
          <w:noProof/>
        </w:rPr>
        <w:t>, 247–259 (2003).</w:t>
      </w:r>
    </w:p>
    <w:p w14:paraId="54254B66" w14:textId="77777777" w:rsidR="008416BC" w:rsidRPr="008416BC" w:rsidRDefault="008416BC" w:rsidP="008416BC">
      <w:pPr>
        <w:widowControl w:val="0"/>
        <w:autoSpaceDE w:val="0"/>
        <w:autoSpaceDN w:val="0"/>
        <w:adjustRightInd w:val="0"/>
        <w:ind w:left="640" w:hanging="640"/>
        <w:rPr>
          <w:rFonts w:ascii="Times New Roman" w:hAnsi="Times New Roman" w:cs="Times New Roman"/>
          <w:noProof/>
        </w:rPr>
      </w:pPr>
      <w:r w:rsidRPr="008416BC">
        <w:rPr>
          <w:rFonts w:ascii="Times New Roman" w:hAnsi="Times New Roman" w:cs="Times New Roman"/>
          <w:noProof/>
        </w:rPr>
        <w:t>3.</w:t>
      </w:r>
      <w:r w:rsidRPr="008416BC">
        <w:rPr>
          <w:rFonts w:ascii="Times New Roman" w:hAnsi="Times New Roman" w:cs="Times New Roman"/>
          <w:noProof/>
        </w:rPr>
        <w:tab/>
        <w:t xml:space="preserve">Hollon, S. D. &amp; Kendall, P. C. Cognitive self-statements in depression: Development of an automatic thoughts questionnaire. </w:t>
      </w:r>
      <w:r w:rsidRPr="008416BC">
        <w:rPr>
          <w:rFonts w:ascii="Times New Roman" w:hAnsi="Times New Roman" w:cs="Times New Roman"/>
          <w:i/>
          <w:iCs/>
          <w:noProof/>
        </w:rPr>
        <w:t>Cognit. Ther. Res.</w:t>
      </w:r>
      <w:r w:rsidRPr="008416BC">
        <w:rPr>
          <w:rFonts w:ascii="Times New Roman" w:hAnsi="Times New Roman" w:cs="Times New Roman"/>
          <w:noProof/>
        </w:rPr>
        <w:t xml:space="preserve"> </w:t>
      </w:r>
      <w:r w:rsidRPr="008416BC">
        <w:rPr>
          <w:rFonts w:ascii="Times New Roman" w:hAnsi="Times New Roman" w:cs="Times New Roman"/>
          <w:b/>
          <w:bCs/>
          <w:noProof/>
        </w:rPr>
        <w:t>4</w:t>
      </w:r>
      <w:r w:rsidRPr="008416BC">
        <w:rPr>
          <w:rFonts w:ascii="Times New Roman" w:hAnsi="Times New Roman" w:cs="Times New Roman"/>
          <w:noProof/>
        </w:rPr>
        <w:t>, 383–395 (1980).</w:t>
      </w:r>
    </w:p>
    <w:p w14:paraId="35CA78E6" w14:textId="77777777" w:rsidR="008416BC" w:rsidRPr="008416BC" w:rsidRDefault="008416BC" w:rsidP="008416BC">
      <w:pPr>
        <w:widowControl w:val="0"/>
        <w:autoSpaceDE w:val="0"/>
        <w:autoSpaceDN w:val="0"/>
        <w:adjustRightInd w:val="0"/>
        <w:ind w:left="640" w:hanging="640"/>
        <w:rPr>
          <w:rFonts w:ascii="Times New Roman" w:hAnsi="Times New Roman" w:cs="Times New Roman"/>
          <w:noProof/>
        </w:rPr>
      </w:pPr>
      <w:r w:rsidRPr="008416BC">
        <w:rPr>
          <w:rFonts w:ascii="Times New Roman" w:hAnsi="Times New Roman" w:cs="Times New Roman"/>
          <w:noProof/>
        </w:rPr>
        <w:t>4.</w:t>
      </w:r>
      <w:r w:rsidRPr="008416BC">
        <w:rPr>
          <w:rFonts w:ascii="Times New Roman" w:hAnsi="Times New Roman" w:cs="Times New Roman"/>
          <w:noProof/>
        </w:rPr>
        <w:tab/>
        <w:t xml:space="preserve">Stenfelt, S. &amp; Goode, R. L. Bone-Conducted Sound: Physiological and Clinical Aspects. </w:t>
      </w:r>
      <w:r w:rsidRPr="008416BC">
        <w:rPr>
          <w:rFonts w:ascii="Times New Roman" w:hAnsi="Times New Roman" w:cs="Times New Roman"/>
          <w:i/>
          <w:iCs/>
          <w:noProof/>
        </w:rPr>
        <w:t>Otol. Neurotol.</w:t>
      </w:r>
      <w:r w:rsidRPr="008416BC">
        <w:rPr>
          <w:rFonts w:ascii="Times New Roman" w:hAnsi="Times New Roman" w:cs="Times New Roman"/>
          <w:noProof/>
        </w:rPr>
        <w:t xml:space="preserve"> </w:t>
      </w:r>
      <w:r w:rsidRPr="008416BC">
        <w:rPr>
          <w:rFonts w:ascii="Times New Roman" w:hAnsi="Times New Roman" w:cs="Times New Roman"/>
          <w:b/>
          <w:bCs/>
          <w:noProof/>
        </w:rPr>
        <w:t>26</w:t>
      </w:r>
      <w:r w:rsidRPr="008416BC">
        <w:rPr>
          <w:rFonts w:ascii="Times New Roman" w:hAnsi="Times New Roman" w:cs="Times New Roman"/>
          <w:noProof/>
        </w:rPr>
        <w:t>, (2005).</w:t>
      </w:r>
    </w:p>
    <w:p w14:paraId="338CD829" w14:textId="77777777" w:rsidR="008416BC" w:rsidRPr="008416BC" w:rsidRDefault="008416BC" w:rsidP="008416BC">
      <w:pPr>
        <w:widowControl w:val="0"/>
        <w:autoSpaceDE w:val="0"/>
        <w:autoSpaceDN w:val="0"/>
        <w:adjustRightInd w:val="0"/>
        <w:ind w:left="640" w:hanging="640"/>
        <w:rPr>
          <w:rFonts w:ascii="Times New Roman" w:hAnsi="Times New Roman" w:cs="Times New Roman"/>
          <w:noProof/>
        </w:rPr>
      </w:pPr>
      <w:r w:rsidRPr="008416BC">
        <w:rPr>
          <w:rFonts w:ascii="Times New Roman" w:hAnsi="Times New Roman" w:cs="Times New Roman"/>
          <w:noProof/>
        </w:rPr>
        <w:t>5.</w:t>
      </w:r>
      <w:r w:rsidRPr="008416BC">
        <w:rPr>
          <w:rFonts w:ascii="Times New Roman" w:hAnsi="Times New Roman" w:cs="Times New Roman"/>
          <w:noProof/>
        </w:rPr>
        <w:tab/>
        <w:t xml:space="preserve">Shuster, L. I. &amp; Durrant, J. D. Toward a better understanding of the perception of self-produced speech. </w:t>
      </w:r>
      <w:r w:rsidRPr="008416BC">
        <w:rPr>
          <w:rFonts w:ascii="Times New Roman" w:hAnsi="Times New Roman" w:cs="Times New Roman"/>
          <w:i/>
          <w:iCs/>
          <w:noProof/>
        </w:rPr>
        <w:t>J. Commun. Disord.</w:t>
      </w:r>
      <w:r w:rsidRPr="008416BC">
        <w:rPr>
          <w:rFonts w:ascii="Times New Roman" w:hAnsi="Times New Roman" w:cs="Times New Roman"/>
          <w:noProof/>
        </w:rPr>
        <w:t xml:space="preserve"> </w:t>
      </w:r>
      <w:r w:rsidRPr="008416BC">
        <w:rPr>
          <w:rFonts w:ascii="Times New Roman" w:hAnsi="Times New Roman" w:cs="Times New Roman"/>
          <w:b/>
          <w:bCs/>
          <w:noProof/>
        </w:rPr>
        <w:t>36</w:t>
      </w:r>
      <w:r w:rsidRPr="008416BC">
        <w:rPr>
          <w:rFonts w:ascii="Times New Roman" w:hAnsi="Times New Roman" w:cs="Times New Roman"/>
          <w:noProof/>
        </w:rPr>
        <w:t>, 1–11 (2003).</w:t>
      </w:r>
    </w:p>
    <w:p w14:paraId="3D4D771C" w14:textId="77777777" w:rsidR="008416BC" w:rsidRPr="008416BC" w:rsidRDefault="008416BC" w:rsidP="008416BC">
      <w:pPr>
        <w:widowControl w:val="0"/>
        <w:autoSpaceDE w:val="0"/>
        <w:autoSpaceDN w:val="0"/>
        <w:adjustRightInd w:val="0"/>
        <w:ind w:left="640" w:hanging="640"/>
        <w:rPr>
          <w:rFonts w:ascii="Times New Roman" w:hAnsi="Times New Roman" w:cs="Times New Roman"/>
          <w:noProof/>
        </w:rPr>
      </w:pPr>
      <w:r w:rsidRPr="008416BC">
        <w:rPr>
          <w:rFonts w:ascii="Times New Roman" w:hAnsi="Times New Roman" w:cs="Times New Roman"/>
          <w:noProof/>
        </w:rPr>
        <w:t>6.</w:t>
      </w:r>
      <w:r w:rsidRPr="008416BC">
        <w:rPr>
          <w:rFonts w:ascii="Times New Roman" w:hAnsi="Times New Roman" w:cs="Times New Roman"/>
          <w:noProof/>
        </w:rPr>
        <w:tab/>
        <w:t xml:space="preserve">Bernstein, A. </w:t>
      </w:r>
      <w:r w:rsidRPr="008416BC">
        <w:rPr>
          <w:rFonts w:ascii="Times New Roman" w:hAnsi="Times New Roman" w:cs="Times New Roman"/>
          <w:i/>
          <w:iCs/>
          <w:noProof/>
        </w:rPr>
        <w:t>et al.</w:t>
      </w:r>
      <w:r w:rsidRPr="008416BC">
        <w:rPr>
          <w:rFonts w:ascii="Times New Roman" w:hAnsi="Times New Roman" w:cs="Times New Roman"/>
          <w:noProof/>
        </w:rPr>
        <w:t xml:space="preserve"> Decentering and Related Constructs: A Critical Review and Metacognitive Processes Model. </w:t>
      </w:r>
      <w:r w:rsidRPr="008416BC">
        <w:rPr>
          <w:rFonts w:ascii="Times New Roman" w:hAnsi="Times New Roman" w:cs="Times New Roman"/>
          <w:i/>
          <w:iCs/>
          <w:noProof/>
        </w:rPr>
        <w:t>Perspect. Psychol. Sci.</w:t>
      </w:r>
      <w:r w:rsidRPr="008416BC">
        <w:rPr>
          <w:rFonts w:ascii="Times New Roman" w:hAnsi="Times New Roman" w:cs="Times New Roman"/>
          <w:noProof/>
        </w:rPr>
        <w:t xml:space="preserve"> </w:t>
      </w:r>
      <w:r w:rsidRPr="008416BC">
        <w:rPr>
          <w:rFonts w:ascii="Times New Roman" w:hAnsi="Times New Roman" w:cs="Times New Roman"/>
          <w:b/>
          <w:bCs/>
          <w:noProof/>
        </w:rPr>
        <w:t>10</w:t>
      </w:r>
      <w:r w:rsidRPr="008416BC">
        <w:rPr>
          <w:rFonts w:ascii="Times New Roman" w:hAnsi="Times New Roman" w:cs="Times New Roman"/>
          <w:noProof/>
        </w:rPr>
        <w:t>, 599–617 (2015).</w:t>
      </w:r>
    </w:p>
    <w:p w14:paraId="5FDF3B52" w14:textId="77777777" w:rsidR="008416BC" w:rsidRPr="008416BC" w:rsidRDefault="008416BC" w:rsidP="008416BC">
      <w:pPr>
        <w:widowControl w:val="0"/>
        <w:autoSpaceDE w:val="0"/>
        <w:autoSpaceDN w:val="0"/>
        <w:adjustRightInd w:val="0"/>
        <w:ind w:left="640" w:hanging="640"/>
        <w:rPr>
          <w:rFonts w:ascii="Times New Roman" w:hAnsi="Times New Roman" w:cs="Times New Roman"/>
          <w:noProof/>
        </w:rPr>
      </w:pPr>
      <w:r w:rsidRPr="008416BC">
        <w:rPr>
          <w:rFonts w:ascii="Times New Roman" w:hAnsi="Times New Roman" w:cs="Times New Roman"/>
          <w:noProof/>
        </w:rPr>
        <w:t>7.</w:t>
      </w:r>
      <w:r w:rsidRPr="008416BC">
        <w:rPr>
          <w:rFonts w:ascii="Times New Roman" w:hAnsi="Times New Roman" w:cs="Times New Roman"/>
          <w:noProof/>
        </w:rPr>
        <w:tab/>
        <w:t xml:space="preserve">Gillanders, D. T. </w:t>
      </w:r>
      <w:r w:rsidRPr="008416BC">
        <w:rPr>
          <w:rFonts w:ascii="Times New Roman" w:hAnsi="Times New Roman" w:cs="Times New Roman"/>
          <w:i/>
          <w:iCs/>
          <w:noProof/>
        </w:rPr>
        <w:t>et al.</w:t>
      </w:r>
      <w:r w:rsidRPr="008416BC">
        <w:rPr>
          <w:rFonts w:ascii="Times New Roman" w:hAnsi="Times New Roman" w:cs="Times New Roman"/>
          <w:noProof/>
        </w:rPr>
        <w:t xml:space="preserve"> The Development and Initial Validation of the Cognitive Fusion Questionnaire. </w:t>
      </w:r>
      <w:r w:rsidRPr="008416BC">
        <w:rPr>
          <w:rFonts w:ascii="Times New Roman" w:hAnsi="Times New Roman" w:cs="Times New Roman"/>
          <w:i/>
          <w:iCs/>
          <w:noProof/>
        </w:rPr>
        <w:t>Behav. Ther.</w:t>
      </w:r>
      <w:r w:rsidRPr="008416BC">
        <w:rPr>
          <w:rFonts w:ascii="Times New Roman" w:hAnsi="Times New Roman" w:cs="Times New Roman"/>
          <w:noProof/>
        </w:rPr>
        <w:t xml:space="preserve"> </w:t>
      </w:r>
      <w:r w:rsidRPr="008416BC">
        <w:rPr>
          <w:rFonts w:ascii="Times New Roman" w:hAnsi="Times New Roman" w:cs="Times New Roman"/>
          <w:b/>
          <w:bCs/>
          <w:noProof/>
        </w:rPr>
        <w:t>45</w:t>
      </w:r>
      <w:r w:rsidRPr="008416BC">
        <w:rPr>
          <w:rFonts w:ascii="Times New Roman" w:hAnsi="Times New Roman" w:cs="Times New Roman"/>
          <w:noProof/>
        </w:rPr>
        <w:t>, 83–101 (2014).</w:t>
      </w:r>
    </w:p>
    <w:p w14:paraId="11F3A3F1" w14:textId="77777777" w:rsidR="008416BC" w:rsidRPr="008416BC" w:rsidRDefault="008416BC" w:rsidP="008416BC">
      <w:pPr>
        <w:widowControl w:val="0"/>
        <w:autoSpaceDE w:val="0"/>
        <w:autoSpaceDN w:val="0"/>
        <w:adjustRightInd w:val="0"/>
        <w:ind w:left="640" w:hanging="640"/>
        <w:rPr>
          <w:rFonts w:ascii="Times New Roman" w:hAnsi="Times New Roman" w:cs="Times New Roman"/>
          <w:noProof/>
        </w:rPr>
      </w:pPr>
      <w:r w:rsidRPr="008416BC">
        <w:rPr>
          <w:rFonts w:ascii="Times New Roman" w:hAnsi="Times New Roman" w:cs="Times New Roman"/>
          <w:noProof/>
        </w:rPr>
        <w:t>8.</w:t>
      </w:r>
      <w:r w:rsidRPr="008416BC">
        <w:rPr>
          <w:rFonts w:ascii="Times New Roman" w:hAnsi="Times New Roman" w:cs="Times New Roman"/>
          <w:noProof/>
        </w:rPr>
        <w:tab/>
        <w:t xml:space="preserve">Hadash, Y., Plonsker, R., Vago, D. R. &amp; Bernstein, A. Experiential self-referential and selfless processing in mindfulness and mental health: Conceptual model and implicit measurement methodology. </w:t>
      </w:r>
      <w:r w:rsidRPr="008416BC">
        <w:rPr>
          <w:rFonts w:ascii="Times New Roman" w:hAnsi="Times New Roman" w:cs="Times New Roman"/>
          <w:i/>
          <w:iCs/>
          <w:noProof/>
        </w:rPr>
        <w:t>Psychol. Assess.</w:t>
      </w:r>
      <w:r w:rsidRPr="008416BC">
        <w:rPr>
          <w:rFonts w:ascii="Times New Roman" w:hAnsi="Times New Roman" w:cs="Times New Roman"/>
          <w:noProof/>
        </w:rPr>
        <w:t xml:space="preserve"> </w:t>
      </w:r>
      <w:r w:rsidRPr="008416BC">
        <w:rPr>
          <w:rFonts w:ascii="Times New Roman" w:hAnsi="Times New Roman" w:cs="Times New Roman"/>
          <w:b/>
          <w:bCs/>
          <w:noProof/>
        </w:rPr>
        <w:t>28</w:t>
      </w:r>
      <w:r w:rsidRPr="008416BC">
        <w:rPr>
          <w:rFonts w:ascii="Times New Roman" w:hAnsi="Times New Roman" w:cs="Times New Roman"/>
          <w:noProof/>
        </w:rPr>
        <w:t>, 856–869 (2016).</w:t>
      </w:r>
    </w:p>
    <w:p w14:paraId="4AE4FE49" w14:textId="77777777" w:rsidR="008416BC" w:rsidRPr="008416BC" w:rsidRDefault="008416BC" w:rsidP="008416BC">
      <w:pPr>
        <w:widowControl w:val="0"/>
        <w:autoSpaceDE w:val="0"/>
        <w:autoSpaceDN w:val="0"/>
        <w:adjustRightInd w:val="0"/>
        <w:ind w:left="640" w:hanging="640"/>
        <w:rPr>
          <w:rFonts w:ascii="Times New Roman" w:hAnsi="Times New Roman" w:cs="Times New Roman"/>
          <w:noProof/>
        </w:rPr>
      </w:pPr>
      <w:r w:rsidRPr="008416BC">
        <w:rPr>
          <w:rFonts w:ascii="Times New Roman" w:hAnsi="Times New Roman" w:cs="Times New Roman"/>
          <w:noProof/>
        </w:rPr>
        <w:t>9.</w:t>
      </w:r>
      <w:r w:rsidRPr="008416BC">
        <w:rPr>
          <w:rFonts w:ascii="Times New Roman" w:hAnsi="Times New Roman" w:cs="Times New Roman"/>
          <w:noProof/>
        </w:rPr>
        <w:tab/>
        <w:t>Audacity, T. Audacity®. (2017).</w:t>
      </w:r>
    </w:p>
    <w:p w14:paraId="4DFC1707" w14:textId="77777777" w:rsidR="008416BC" w:rsidRPr="008416BC" w:rsidRDefault="008416BC" w:rsidP="008416BC">
      <w:pPr>
        <w:widowControl w:val="0"/>
        <w:autoSpaceDE w:val="0"/>
        <w:autoSpaceDN w:val="0"/>
        <w:adjustRightInd w:val="0"/>
        <w:ind w:left="640" w:hanging="640"/>
        <w:rPr>
          <w:rFonts w:ascii="Times New Roman" w:hAnsi="Times New Roman" w:cs="Times New Roman"/>
          <w:noProof/>
        </w:rPr>
      </w:pPr>
      <w:r w:rsidRPr="008416BC">
        <w:rPr>
          <w:rFonts w:ascii="Times New Roman" w:hAnsi="Times New Roman" w:cs="Times New Roman"/>
          <w:noProof/>
        </w:rPr>
        <w:t>10.</w:t>
      </w:r>
      <w:r w:rsidRPr="008416BC">
        <w:rPr>
          <w:rFonts w:ascii="Times New Roman" w:hAnsi="Times New Roman" w:cs="Times New Roman"/>
          <w:noProof/>
        </w:rPr>
        <w:tab/>
        <w:t xml:space="preserve">Tellegen, A., Watson, D. &amp; Clark, L. A. On the Dimensional and Hierarchical Structure of Affect. </w:t>
      </w:r>
      <w:r w:rsidRPr="008416BC">
        <w:rPr>
          <w:rFonts w:ascii="Times New Roman" w:hAnsi="Times New Roman" w:cs="Times New Roman"/>
          <w:i/>
          <w:iCs/>
          <w:noProof/>
        </w:rPr>
        <w:t>Psychol. Sci.</w:t>
      </w:r>
      <w:r w:rsidRPr="008416BC">
        <w:rPr>
          <w:rFonts w:ascii="Times New Roman" w:hAnsi="Times New Roman" w:cs="Times New Roman"/>
          <w:noProof/>
        </w:rPr>
        <w:t xml:space="preserve"> </w:t>
      </w:r>
      <w:r w:rsidRPr="008416BC">
        <w:rPr>
          <w:rFonts w:ascii="Times New Roman" w:hAnsi="Times New Roman" w:cs="Times New Roman"/>
          <w:b/>
          <w:bCs/>
          <w:noProof/>
        </w:rPr>
        <w:t>10</w:t>
      </w:r>
      <w:r w:rsidRPr="008416BC">
        <w:rPr>
          <w:rFonts w:ascii="Times New Roman" w:hAnsi="Times New Roman" w:cs="Times New Roman"/>
          <w:noProof/>
        </w:rPr>
        <w:t>, 297–303 (1999).</w:t>
      </w:r>
    </w:p>
    <w:p w14:paraId="5B0C3F95" w14:textId="77777777" w:rsidR="008416BC" w:rsidRPr="008416BC" w:rsidRDefault="008416BC" w:rsidP="008416BC">
      <w:pPr>
        <w:widowControl w:val="0"/>
        <w:autoSpaceDE w:val="0"/>
        <w:autoSpaceDN w:val="0"/>
        <w:adjustRightInd w:val="0"/>
        <w:ind w:left="640" w:hanging="640"/>
        <w:rPr>
          <w:rFonts w:ascii="Times New Roman" w:hAnsi="Times New Roman" w:cs="Times New Roman"/>
          <w:noProof/>
        </w:rPr>
      </w:pPr>
      <w:r w:rsidRPr="008416BC">
        <w:rPr>
          <w:rFonts w:ascii="Times New Roman" w:hAnsi="Times New Roman" w:cs="Times New Roman"/>
          <w:noProof/>
        </w:rPr>
        <w:t>11.</w:t>
      </w:r>
      <w:r w:rsidRPr="008416BC">
        <w:rPr>
          <w:rFonts w:ascii="Times New Roman" w:hAnsi="Times New Roman" w:cs="Times New Roman"/>
          <w:noProof/>
        </w:rPr>
        <w:tab/>
        <w:t xml:space="preserve">Watson, D., Wiese, D., Vaidya, J. &amp; Tellegen, A. The two general activation systems of affect: Structural findings, evolutionary considerations, and </w:t>
      </w:r>
      <w:r w:rsidRPr="008416BC">
        <w:rPr>
          <w:rFonts w:ascii="Times New Roman" w:hAnsi="Times New Roman" w:cs="Times New Roman"/>
          <w:noProof/>
        </w:rPr>
        <w:lastRenderedPageBreak/>
        <w:t xml:space="preserve">psychobiological evidence. </w:t>
      </w:r>
      <w:r w:rsidRPr="008416BC">
        <w:rPr>
          <w:rFonts w:ascii="Times New Roman" w:hAnsi="Times New Roman" w:cs="Times New Roman"/>
          <w:i/>
          <w:iCs/>
          <w:noProof/>
        </w:rPr>
        <w:t>J. Pers. Soc. Psychol.</w:t>
      </w:r>
      <w:r w:rsidRPr="008416BC">
        <w:rPr>
          <w:rFonts w:ascii="Times New Roman" w:hAnsi="Times New Roman" w:cs="Times New Roman"/>
          <w:noProof/>
        </w:rPr>
        <w:t xml:space="preserve"> </w:t>
      </w:r>
      <w:r w:rsidRPr="008416BC">
        <w:rPr>
          <w:rFonts w:ascii="Times New Roman" w:hAnsi="Times New Roman" w:cs="Times New Roman"/>
          <w:b/>
          <w:bCs/>
          <w:noProof/>
        </w:rPr>
        <w:t>76</w:t>
      </w:r>
      <w:r w:rsidRPr="008416BC">
        <w:rPr>
          <w:rFonts w:ascii="Times New Roman" w:hAnsi="Times New Roman" w:cs="Times New Roman"/>
          <w:noProof/>
        </w:rPr>
        <w:t>, 820–838 (1999).</w:t>
      </w:r>
    </w:p>
    <w:p w14:paraId="7FF02160" w14:textId="77777777" w:rsidR="008416BC" w:rsidRPr="008416BC" w:rsidRDefault="008416BC" w:rsidP="008416BC">
      <w:pPr>
        <w:widowControl w:val="0"/>
        <w:autoSpaceDE w:val="0"/>
        <w:autoSpaceDN w:val="0"/>
        <w:adjustRightInd w:val="0"/>
        <w:ind w:left="640" w:hanging="640"/>
        <w:rPr>
          <w:rFonts w:ascii="Times New Roman" w:hAnsi="Times New Roman" w:cs="Times New Roman"/>
          <w:noProof/>
        </w:rPr>
      </w:pPr>
      <w:r w:rsidRPr="008416BC">
        <w:rPr>
          <w:rFonts w:ascii="Times New Roman" w:hAnsi="Times New Roman" w:cs="Times New Roman"/>
          <w:noProof/>
        </w:rPr>
        <w:t>12.</w:t>
      </w:r>
      <w:r w:rsidRPr="008416BC">
        <w:rPr>
          <w:rFonts w:ascii="Times New Roman" w:hAnsi="Times New Roman" w:cs="Times New Roman"/>
          <w:noProof/>
        </w:rPr>
        <w:tab/>
        <w:t xml:space="preserve">Öhman, A., Flykt, A. &amp; Esteves, F. Emotion drives attention: Detecting the snake in the grass. </w:t>
      </w:r>
      <w:r w:rsidRPr="008416BC">
        <w:rPr>
          <w:rFonts w:ascii="Times New Roman" w:hAnsi="Times New Roman" w:cs="Times New Roman"/>
          <w:i/>
          <w:iCs/>
          <w:noProof/>
        </w:rPr>
        <w:t>Journal of Experimental Psychology: General</w:t>
      </w:r>
      <w:r w:rsidRPr="008416BC">
        <w:rPr>
          <w:rFonts w:ascii="Times New Roman" w:hAnsi="Times New Roman" w:cs="Times New Roman"/>
          <w:noProof/>
        </w:rPr>
        <w:t xml:space="preserve"> </w:t>
      </w:r>
      <w:r w:rsidRPr="008416BC">
        <w:rPr>
          <w:rFonts w:ascii="Times New Roman" w:hAnsi="Times New Roman" w:cs="Times New Roman"/>
          <w:b/>
          <w:bCs/>
          <w:noProof/>
        </w:rPr>
        <w:t>130</w:t>
      </w:r>
      <w:r w:rsidRPr="008416BC">
        <w:rPr>
          <w:rFonts w:ascii="Times New Roman" w:hAnsi="Times New Roman" w:cs="Times New Roman"/>
          <w:noProof/>
        </w:rPr>
        <w:t>, 466–478 (2001).</w:t>
      </w:r>
    </w:p>
    <w:p w14:paraId="3A3D4F72" w14:textId="77777777" w:rsidR="008416BC" w:rsidRPr="008416BC" w:rsidRDefault="008416BC" w:rsidP="008416BC">
      <w:pPr>
        <w:widowControl w:val="0"/>
        <w:autoSpaceDE w:val="0"/>
        <w:autoSpaceDN w:val="0"/>
        <w:adjustRightInd w:val="0"/>
        <w:ind w:left="640" w:hanging="640"/>
        <w:rPr>
          <w:rFonts w:ascii="Times New Roman" w:hAnsi="Times New Roman" w:cs="Times New Roman"/>
          <w:noProof/>
        </w:rPr>
      </w:pPr>
      <w:r w:rsidRPr="008416BC">
        <w:rPr>
          <w:rFonts w:ascii="Times New Roman" w:hAnsi="Times New Roman" w:cs="Times New Roman"/>
          <w:noProof/>
        </w:rPr>
        <w:t>13.</w:t>
      </w:r>
      <w:r w:rsidRPr="008416BC">
        <w:rPr>
          <w:rFonts w:ascii="Times New Roman" w:hAnsi="Times New Roman" w:cs="Times New Roman"/>
          <w:noProof/>
        </w:rPr>
        <w:tab/>
        <w:t xml:space="preserve">Kok, B. E. &amp; Fredrickson, B. L. Upward spirals of the heart: Autonomic flexibility, as indexed by vagal tone, reciprocally and prospectively predicts positive emotions and social connectedness. </w:t>
      </w:r>
      <w:r w:rsidRPr="008416BC">
        <w:rPr>
          <w:rFonts w:ascii="Times New Roman" w:hAnsi="Times New Roman" w:cs="Times New Roman"/>
          <w:i/>
          <w:iCs/>
          <w:noProof/>
        </w:rPr>
        <w:t>Biol. Psychol.</w:t>
      </w:r>
      <w:r w:rsidRPr="008416BC">
        <w:rPr>
          <w:rFonts w:ascii="Times New Roman" w:hAnsi="Times New Roman" w:cs="Times New Roman"/>
          <w:noProof/>
        </w:rPr>
        <w:t xml:space="preserve"> </w:t>
      </w:r>
      <w:r w:rsidRPr="008416BC">
        <w:rPr>
          <w:rFonts w:ascii="Times New Roman" w:hAnsi="Times New Roman" w:cs="Times New Roman"/>
          <w:b/>
          <w:bCs/>
          <w:noProof/>
        </w:rPr>
        <w:t>85</w:t>
      </w:r>
      <w:r w:rsidRPr="008416BC">
        <w:rPr>
          <w:rFonts w:ascii="Times New Roman" w:hAnsi="Times New Roman" w:cs="Times New Roman"/>
          <w:noProof/>
        </w:rPr>
        <w:t>, 432–436 (2010).</w:t>
      </w:r>
    </w:p>
    <w:p w14:paraId="5D1D8DB9" w14:textId="77777777" w:rsidR="008416BC" w:rsidRPr="008416BC" w:rsidRDefault="008416BC" w:rsidP="008416BC">
      <w:pPr>
        <w:widowControl w:val="0"/>
        <w:autoSpaceDE w:val="0"/>
        <w:autoSpaceDN w:val="0"/>
        <w:adjustRightInd w:val="0"/>
        <w:ind w:left="640" w:hanging="640"/>
        <w:rPr>
          <w:rFonts w:ascii="Times New Roman" w:hAnsi="Times New Roman" w:cs="Times New Roman"/>
          <w:noProof/>
        </w:rPr>
      </w:pPr>
      <w:r w:rsidRPr="008416BC">
        <w:rPr>
          <w:rFonts w:ascii="Times New Roman" w:hAnsi="Times New Roman" w:cs="Times New Roman"/>
          <w:noProof/>
        </w:rPr>
        <w:t>14.</w:t>
      </w:r>
      <w:r w:rsidRPr="008416BC">
        <w:rPr>
          <w:rFonts w:ascii="Times New Roman" w:hAnsi="Times New Roman" w:cs="Times New Roman"/>
          <w:noProof/>
        </w:rPr>
        <w:tab/>
        <w:t xml:space="preserve">Mathews, A. &amp; MacLeod, C. Cognitive Approaches to Emotion and Emotional Disorders. </w:t>
      </w:r>
      <w:r w:rsidRPr="008416BC">
        <w:rPr>
          <w:rFonts w:ascii="Times New Roman" w:hAnsi="Times New Roman" w:cs="Times New Roman"/>
          <w:i/>
          <w:iCs/>
          <w:noProof/>
        </w:rPr>
        <w:t>Annu. Rev. Psychol.</w:t>
      </w:r>
      <w:r w:rsidRPr="008416BC">
        <w:rPr>
          <w:rFonts w:ascii="Times New Roman" w:hAnsi="Times New Roman" w:cs="Times New Roman"/>
          <w:noProof/>
        </w:rPr>
        <w:t xml:space="preserve"> </w:t>
      </w:r>
      <w:r w:rsidRPr="008416BC">
        <w:rPr>
          <w:rFonts w:ascii="Times New Roman" w:hAnsi="Times New Roman" w:cs="Times New Roman"/>
          <w:b/>
          <w:bCs/>
          <w:noProof/>
        </w:rPr>
        <w:t>45</w:t>
      </w:r>
      <w:r w:rsidRPr="008416BC">
        <w:rPr>
          <w:rFonts w:ascii="Times New Roman" w:hAnsi="Times New Roman" w:cs="Times New Roman"/>
          <w:noProof/>
        </w:rPr>
        <w:t>, 25–50 (1994).</w:t>
      </w:r>
    </w:p>
    <w:p w14:paraId="51D2CCB8" w14:textId="77777777" w:rsidR="008416BC" w:rsidRPr="008416BC" w:rsidRDefault="008416BC" w:rsidP="008416BC">
      <w:pPr>
        <w:widowControl w:val="0"/>
        <w:autoSpaceDE w:val="0"/>
        <w:autoSpaceDN w:val="0"/>
        <w:adjustRightInd w:val="0"/>
        <w:ind w:left="640" w:hanging="640"/>
        <w:rPr>
          <w:rFonts w:ascii="Times New Roman" w:hAnsi="Times New Roman" w:cs="Times New Roman"/>
          <w:noProof/>
        </w:rPr>
      </w:pPr>
      <w:r w:rsidRPr="008416BC">
        <w:rPr>
          <w:rFonts w:ascii="Times New Roman" w:hAnsi="Times New Roman" w:cs="Times New Roman"/>
          <w:noProof/>
        </w:rPr>
        <w:t>15.</w:t>
      </w:r>
      <w:r w:rsidRPr="008416BC">
        <w:rPr>
          <w:rFonts w:ascii="Times New Roman" w:hAnsi="Times New Roman" w:cs="Times New Roman"/>
          <w:noProof/>
        </w:rPr>
        <w:tab/>
        <w:t xml:space="preserve">Whitmer, A. J. &amp; Gotlib, I. H. An attentional scope model of rumination. </w:t>
      </w:r>
      <w:r w:rsidRPr="008416BC">
        <w:rPr>
          <w:rFonts w:ascii="Times New Roman" w:hAnsi="Times New Roman" w:cs="Times New Roman"/>
          <w:i/>
          <w:iCs/>
          <w:noProof/>
        </w:rPr>
        <w:t>Psychol. Bull.</w:t>
      </w:r>
      <w:r w:rsidRPr="008416BC">
        <w:rPr>
          <w:rFonts w:ascii="Times New Roman" w:hAnsi="Times New Roman" w:cs="Times New Roman"/>
          <w:noProof/>
        </w:rPr>
        <w:t xml:space="preserve"> </w:t>
      </w:r>
      <w:r w:rsidRPr="008416BC">
        <w:rPr>
          <w:rFonts w:ascii="Times New Roman" w:hAnsi="Times New Roman" w:cs="Times New Roman"/>
          <w:b/>
          <w:bCs/>
          <w:noProof/>
        </w:rPr>
        <w:t>139</w:t>
      </w:r>
      <w:r w:rsidRPr="008416BC">
        <w:rPr>
          <w:rFonts w:ascii="Times New Roman" w:hAnsi="Times New Roman" w:cs="Times New Roman"/>
          <w:noProof/>
        </w:rPr>
        <w:t>, 1036–1061 (2013).</w:t>
      </w:r>
    </w:p>
    <w:p w14:paraId="1F0498DF" w14:textId="77777777" w:rsidR="008416BC" w:rsidRPr="008416BC" w:rsidRDefault="008416BC" w:rsidP="008416BC">
      <w:pPr>
        <w:widowControl w:val="0"/>
        <w:autoSpaceDE w:val="0"/>
        <w:autoSpaceDN w:val="0"/>
        <w:adjustRightInd w:val="0"/>
        <w:ind w:left="640" w:hanging="640"/>
        <w:rPr>
          <w:rFonts w:ascii="Times New Roman" w:hAnsi="Times New Roman" w:cs="Times New Roman"/>
          <w:noProof/>
        </w:rPr>
      </w:pPr>
      <w:r w:rsidRPr="008416BC">
        <w:rPr>
          <w:rFonts w:ascii="Times New Roman" w:hAnsi="Times New Roman" w:cs="Times New Roman"/>
          <w:noProof/>
        </w:rPr>
        <w:t>16.</w:t>
      </w:r>
      <w:r w:rsidRPr="008416BC">
        <w:rPr>
          <w:rFonts w:ascii="Times New Roman" w:hAnsi="Times New Roman" w:cs="Times New Roman"/>
          <w:noProof/>
        </w:rPr>
        <w:tab/>
        <w:t xml:space="preserve">Carl, J. R., Soskin, D. P., Kerns, C. &amp; Barlow, D. H. Positive emotion regulation in emotional disorders: A theoretical review. </w:t>
      </w:r>
      <w:r w:rsidRPr="008416BC">
        <w:rPr>
          <w:rFonts w:ascii="Times New Roman" w:hAnsi="Times New Roman" w:cs="Times New Roman"/>
          <w:i/>
          <w:iCs/>
          <w:noProof/>
        </w:rPr>
        <w:t>Clin. Psychol. Rev.</w:t>
      </w:r>
      <w:r w:rsidRPr="008416BC">
        <w:rPr>
          <w:rFonts w:ascii="Times New Roman" w:hAnsi="Times New Roman" w:cs="Times New Roman"/>
          <w:noProof/>
        </w:rPr>
        <w:t xml:space="preserve"> </w:t>
      </w:r>
      <w:r w:rsidRPr="008416BC">
        <w:rPr>
          <w:rFonts w:ascii="Times New Roman" w:hAnsi="Times New Roman" w:cs="Times New Roman"/>
          <w:b/>
          <w:bCs/>
          <w:noProof/>
        </w:rPr>
        <w:t>33</w:t>
      </w:r>
      <w:r w:rsidRPr="008416BC">
        <w:rPr>
          <w:rFonts w:ascii="Times New Roman" w:hAnsi="Times New Roman" w:cs="Times New Roman"/>
          <w:noProof/>
        </w:rPr>
        <w:t>, 343–360 (2013).</w:t>
      </w:r>
    </w:p>
    <w:p w14:paraId="6BCEB663" w14:textId="339BFA70" w:rsidR="00D5401E" w:rsidRPr="00091D77" w:rsidRDefault="00D5401E" w:rsidP="00D5401E">
      <w:r>
        <w:fldChar w:fldCharType="end"/>
      </w:r>
    </w:p>
    <w:p w14:paraId="37B51169" w14:textId="77777777" w:rsidR="00E26607" w:rsidRDefault="00E26607" w:rsidP="00510FA1">
      <w:pPr>
        <w:pStyle w:val="Heading1"/>
        <w:ind w:firstLine="0"/>
      </w:pPr>
      <w:r>
        <w:br w:type="page"/>
      </w:r>
      <w:r w:rsidR="00510FA1">
        <w:lastRenderedPageBreak/>
        <w:t>Figures</w:t>
      </w:r>
    </w:p>
    <w:p w14:paraId="63B90054" w14:textId="77777777" w:rsidR="00510FA1" w:rsidRDefault="00510FA1" w:rsidP="00510FA1">
      <w:pPr>
        <w:ind w:firstLine="0"/>
      </w:pPr>
    </w:p>
    <w:p w14:paraId="181B8F28" w14:textId="4A0E1704" w:rsidR="00510FA1" w:rsidRDefault="00510FA1" w:rsidP="00510FA1">
      <w:pPr>
        <w:ind w:firstLine="0"/>
      </w:pPr>
      <w:r w:rsidRPr="00510FA1">
        <w:rPr>
          <w:noProof/>
        </w:rPr>
        <w:drawing>
          <wp:inline distT="0" distB="0" distL="0" distR="0" wp14:anchorId="1995D3D7" wp14:editId="2B00283C">
            <wp:extent cx="5278120" cy="4740910"/>
            <wp:effectExtent l="0" t="0" r="0" b="254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278120" cy="4740910"/>
                    </a:xfrm>
                    <a:prstGeom prst="rect">
                      <a:avLst/>
                    </a:prstGeom>
                  </pic:spPr>
                </pic:pic>
              </a:graphicData>
            </a:graphic>
          </wp:inline>
        </w:drawing>
      </w:r>
    </w:p>
    <w:p w14:paraId="0E149E1E" w14:textId="77777777" w:rsidR="00510FA1" w:rsidRDefault="00805BB2" w:rsidP="00510FA1">
      <w:pPr>
        <w:ind w:firstLine="0"/>
      </w:pPr>
      <w:r>
        <w:t>SM Figure 1. Scatter plot and histograms of identification and similarity ratings of STP stimuli (</w:t>
      </w:r>
      <w:proofErr w:type="gramStart"/>
      <w:r w:rsidRPr="00BD7AD3">
        <w:rPr>
          <w:i/>
          <w:iCs/>
        </w:rPr>
        <w:t>r</w:t>
      </w:r>
      <w:r>
        <w:t>(</w:t>
      </w:r>
      <w:proofErr w:type="gramEnd"/>
      <w:r>
        <w:t xml:space="preserve">57) = .816, </w:t>
      </w:r>
      <w:r w:rsidRPr="00976E5A">
        <w:rPr>
          <w:i/>
          <w:iCs/>
        </w:rPr>
        <w:t>p</w:t>
      </w:r>
      <w:r>
        <w:t xml:space="preserve"> &lt; .001).</w:t>
      </w:r>
      <w:r w:rsidR="00537808">
        <w:t xml:space="preserve"> Scale: 0 = “Not at all”, 10 = “Very much so”.</w:t>
      </w:r>
    </w:p>
    <w:p w14:paraId="3DC91009" w14:textId="77777777" w:rsidR="004A470B" w:rsidRDefault="004A470B">
      <w:pPr>
        <w:spacing w:line="259" w:lineRule="auto"/>
        <w:ind w:firstLine="0"/>
        <w:contextualSpacing w:val="0"/>
        <w:jc w:val="left"/>
      </w:pPr>
    </w:p>
    <w:p w14:paraId="367E0FAA" w14:textId="4AB5DC16" w:rsidR="006A5F62" w:rsidRDefault="006A5F62">
      <w:pPr>
        <w:spacing w:line="259" w:lineRule="auto"/>
        <w:ind w:firstLine="0"/>
        <w:contextualSpacing w:val="0"/>
        <w:jc w:val="left"/>
      </w:pPr>
      <w:r>
        <w:br w:type="page"/>
      </w:r>
    </w:p>
    <w:p w14:paraId="5842D418" w14:textId="77777777" w:rsidR="006A5F62" w:rsidRDefault="006A5F62">
      <w:pPr>
        <w:spacing w:line="259" w:lineRule="auto"/>
        <w:ind w:firstLine="0"/>
        <w:contextualSpacing w:val="0"/>
        <w:jc w:val="left"/>
        <w:sectPr w:rsidR="006A5F62" w:rsidSect="00B64A9A">
          <w:headerReference w:type="default" r:id="rId10"/>
          <w:footerReference w:type="default" r:id="rId11"/>
          <w:pgSz w:w="11906" w:h="16838"/>
          <w:pgMar w:top="1440" w:right="1797" w:bottom="1440" w:left="1797" w:header="709" w:footer="709" w:gutter="0"/>
          <w:cols w:space="708"/>
          <w:bidi/>
          <w:rtlGutter/>
          <w:docGrid w:linePitch="360"/>
        </w:sectPr>
      </w:pPr>
    </w:p>
    <w:tbl>
      <w:tblPr>
        <w:tblStyle w:val="TableGrid"/>
        <w:tblW w:w="47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2195"/>
        <w:gridCol w:w="1793"/>
        <w:gridCol w:w="1905"/>
        <w:gridCol w:w="1541"/>
        <w:gridCol w:w="1541"/>
        <w:gridCol w:w="1541"/>
        <w:gridCol w:w="1702"/>
      </w:tblGrid>
      <w:tr w:rsidR="004A470B" w14:paraId="182E95B4" w14:textId="77777777" w:rsidTr="004A470B">
        <w:tc>
          <w:tcPr>
            <w:tcW w:w="1134" w:type="dxa"/>
          </w:tcPr>
          <w:p w14:paraId="7DFE8BD1" w14:textId="77777777" w:rsidR="004A470B" w:rsidRDefault="004A470B" w:rsidP="004F673A">
            <w:pPr>
              <w:spacing w:line="259" w:lineRule="auto"/>
              <w:ind w:firstLine="0"/>
              <w:contextualSpacing w:val="0"/>
              <w:jc w:val="left"/>
              <w:rPr>
                <w:b/>
                <w:bCs/>
              </w:rPr>
            </w:pPr>
          </w:p>
        </w:tc>
        <w:tc>
          <w:tcPr>
            <w:tcW w:w="12218" w:type="dxa"/>
            <w:gridSpan w:val="7"/>
            <w:shd w:val="clear" w:color="auto" w:fill="auto"/>
          </w:tcPr>
          <w:p w14:paraId="79B5542E" w14:textId="6A2DE6DD" w:rsidR="004A470B" w:rsidRDefault="004A470B" w:rsidP="004F673A">
            <w:pPr>
              <w:spacing w:line="259" w:lineRule="auto"/>
              <w:ind w:firstLine="0"/>
              <w:contextualSpacing w:val="0"/>
              <w:jc w:val="left"/>
            </w:pPr>
            <w:r>
              <w:rPr>
                <w:b/>
                <w:bCs/>
              </w:rPr>
              <w:t xml:space="preserve">Table </w:t>
            </w:r>
            <w:r>
              <w:rPr>
                <w:b/>
                <w:bCs/>
                <w:lang w:val="en-IL"/>
              </w:rPr>
              <w:t>1</w:t>
            </w:r>
            <w:r>
              <w:rPr>
                <w:b/>
                <w:bCs/>
              </w:rPr>
              <w:t xml:space="preserve">. </w:t>
            </w:r>
            <w:r>
              <w:rPr>
                <w:lang w:val="en-IL"/>
              </w:rPr>
              <w:t>Descriptive statistics of questionnaires in Studies 1 &amp; 2</w:t>
            </w:r>
            <w:r w:rsidRPr="00E26607">
              <w:t>.</w:t>
            </w:r>
            <w:r>
              <w:t xml:space="preserve"> </w:t>
            </w:r>
            <w:r>
              <w:rPr>
                <w:lang w:val="en-IL"/>
              </w:rPr>
              <w:t xml:space="preserve">SD </w:t>
            </w:r>
            <w:r>
              <w:t xml:space="preserve">= </w:t>
            </w:r>
            <w:r>
              <w:rPr>
                <w:lang w:val="en-IL"/>
              </w:rPr>
              <w:t>Standard Deviation</w:t>
            </w:r>
            <w:r>
              <w:t xml:space="preserve">, </w:t>
            </w:r>
            <w:r>
              <w:rPr>
                <w:lang w:val="en-IL"/>
              </w:rPr>
              <w:t>PTQ</w:t>
            </w:r>
            <w:r>
              <w:t xml:space="preserve"> =</w:t>
            </w:r>
            <w:r>
              <w:rPr>
                <w:lang w:val="en-IL"/>
              </w:rPr>
              <w:t xml:space="preserve"> Perseverative Thinking Questionnaire</w:t>
            </w:r>
            <w:r>
              <w:t xml:space="preserve"> </w:t>
            </w:r>
            <w:r>
              <w:rPr>
                <w:lang w:val="en-IL"/>
              </w:rPr>
              <w:t>(r</w:t>
            </w:r>
            <w:proofErr w:type="spellStart"/>
            <w:r>
              <w:t>epetitive</w:t>
            </w:r>
            <w:proofErr w:type="spellEnd"/>
            <w:r>
              <w:t xml:space="preserve"> negative thinking</w:t>
            </w:r>
            <w:r>
              <w:rPr>
                <w:lang w:val="en-IL"/>
              </w:rPr>
              <w:t>)</w:t>
            </w:r>
            <w:r>
              <w:t>,</w:t>
            </w:r>
            <w:r>
              <w:rPr>
                <w:lang w:val="en-IL"/>
              </w:rPr>
              <w:t xml:space="preserve"> PSWQ = Penn State Worry Questionnaire,</w:t>
            </w:r>
            <w:r>
              <w:t xml:space="preserve"> CFQ = Cognitive Fusion Questionnaire</w:t>
            </w:r>
            <w:r>
              <w:rPr>
                <w:lang w:val="en-IL"/>
              </w:rPr>
              <w:t>, Public Health Questionnaire – 9 (depression symptom levels), BAI = Beck Anxiety Inventory</w:t>
            </w:r>
            <w:r>
              <w:t>.</w:t>
            </w:r>
          </w:p>
          <w:p w14:paraId="64407753" w14:textId="681B4866" w:rsidR="004A470B" w:rsidRDefault="004A470B" w:rsidP="004F673A">
            <w:pPr>
              <w:spacing w:line="259" w:lineRule="auto"/>
              <w:ind w:firstLine="0"/>
              <w:contextualSpacing w:val="0"/>
              <w:jc w:val="left"/>
            </w:pPr>
          </w:p>
        </w:tc>
      </w:tr>
      <w:tr w:rsidR="004A470B" w14:paraId="1ABCE516" w14:textId="77777777" w:rsidTr="004A470B">
        <w:tc>
          <w:tcPr>
            <w:tcW w:w="1134" w:type="dxa"/>
            <w:tcBorders>
              <w:bottom w:val="single" w:sz="4" w:space="0" w:color="auto"/>
              <w:right w:val="single" w:sz="4" w:space="0" w:color="auto"/>
            </w:tcBorders>
          </w:tcPr>
          <w:p w14:paraId="1A78EBD7" w14:textId="537F13CD" w:rsidR="004A470B" w:rsidRPr="004F673A" w:rsidRDefault="004A470B" w:rsidP="004F673A">
            <w:pPr>
              <w:spacing w:line="259" w:lineRule="auto"/>
              <w:ind w:firstLine="0"/>
              <w:contextualSpacing w:val="0"/>
              <w:jc w:val="left"/>
              <w:rPr>
                <w:b/>
                <w:bCs/>
                <w:lang w:val="en-IL"/>
              </w:rPr>
            </w:pPr>
          </w:p>
        </w:tc>
        <w:tc>
          <w:tcPr>
            <w:tcW w:w="2195" w:type="dxa"/>
            <w:tcBorders>
              <w:bottom w:val="single" w:sz="4" w:space="0" w:color="auto"/>
            </w:tcBorders>
            <w:shd w:val="clear" w:color="auto" w:fill="auto"/>
          </w:tcPr>
          <w:p w14:paraId="4E31D91B" w14:textId="2946C178" w:rsidR="004A470B" w:rsidRPr="004F673A" w:rsidRDefault="004A470B" w:rsidP="004F673A">
            <w:pPr>
              <w:spacing w:line="259" w:lineRule="auto"/>
              <w:ind w:firstLine="0"/>
              <w:contextualSpacing w:val="0"/>
              <w:jc w:val="left"/>
              <w:rPr>
                <w:b/>
                <w:bCs/>
                <w:lang w:val="en-IL"/>
              </w:rPr>
            </w:pPr>
            <w:r w:rsidRPr="004F673A">
              <w:rPr>
                <w:b/>
                <w:bCs/>
                <w:lang w:val="en-IL"/>
              </w:rPr>
              <w:t>Questionnaire</w:t>
            </w:r>
          </w:p>
        </w:tc>
        <w:tc>
          <w:tcPr>
            <w:tcW w:w="1793" w:type="dxa"/>
            <w:tcBorders>
              <w:left w:val="nil"/>
              <w:bottom w:val="single" w:sz="4" w:space="0" w:color="auto"/>
            </w:tcBorders>
            <w:shd w:val="clear" w:color="auto" w:fill="auto"/>
          </w:tcPr>
          <w:p w14:paraId="6962BBEB" w14:textId="7C1F08ED" w:rsidR="004A470B" w:rsidRPr="004F673A" w:rsidRDefault="004A470B" w:rsidP="004F673A">
            <w:pPr>
              <w:spacing w:line="259" w:lineRule="auto"/>
              <w:ind w:firstLine="0"/>
              <w:contextualSpacing w:val="0"/>
              <w:jc w:val="left"/>
              <w:rPr>
                <w:b/>
                <w:bCs/>
                <w:lang w:val="en-IL"/>
              </w:rPr>
            </w:pPr>
            <w:r w:rsidRPr="004F673A">
              <w:rPr>
                <w:b/>
                <w:bCs/>
                <w:lang w:val="en-IL"/>
              </w:rPr>
              <w:t>Mean (SD)</w:t>
            </w:r>
          </w:p>
        </w:tc>
        <w:tc>
          <w:tcPr>
            <w:tcW w:w="1905" w:type="dxa"/>
            <w:tcBorders>
              <w:bottom w:val="single" w:sz="4" w:space="0" w:color="auto"/>
            </w:tcBorders>
            <w:shd w:val="clear" w:color="auto" w:fill="auto"/>
          </w:tcPr>
          <w:p w14:paraId="0BD021C8" w14:textId="46BAAA74" w:rsidR="004A470B" w:rsidRPr="004F673A" w:rsidRDefault="004A470B" w:rsidP="004F673A">
            <w:pPr>
              <w:spacing w:line="259" w:lineRule="auto"/>
              <w:ind w:firstLine="0"/>
              <w:contextualSpacing w:val="0"/>
              <w:jc w:val="left"/>
              <w:rPr>
                <w:b/>
                <w:bCs/>
                <w:lang w:val="en-IL"/>
              </w:rPr>
            </w:pPr>
            <w:r w:rsidRPr="004F673A">
              <w:rPr>
                <w:b/>
                <w:bCs/>
                <w:lang w:val="en-IL"/>
              </w:rPr>
              <w:t>Minimum</w:t>
            </w:r>
          </w:p>
        </w:tc>
        <w:tc>
          <w:tcPr>
            <w:tcW w:w="1541" w:type="dxa"/>
            <w:tcBorders>
              <w:bottom w:val="single" w:sz="4" w:space="0" w:color="auto"/>
            </w:tcBorders>
            <w:shd w:val="clear" w:color="auto" w:fill="auto"/>
          </w:tcPr>
          <w:p w14:paraId="4AACAF5A" w14:textId="725690DD" w:rsidR="004A470B" w:rsidRPr="004F673A" w:rsidRDefault="004A470B" w:rsidP="004F673A">
            <w:pPr>
              <w:spacing w:line="259" w:lineRule="auto"/>
              <w:ind w:firstLine="0"/>
              <w:contextualSpacing w:val="0"/>
              <w:jc w:val="left"/>
              <w:rPr>
                <w:b/>
                <w:bCs/>
              </w:rPr>
            </w:pPr>
            <w:r w:rsidRPr="004F673A">
              <w:rPr>
                <w:b/>
                <w:bCs/>
                <w:lang w:val="en-IL"/>
              </w:rPr>
              <w:t>.25 Quantile</w:t>
            </w:r>
          </w:p>
        </w:tc>
        <w:tc>
          <w:tcPr>
            <w:tcW w:w="1541" w:type="dxa"/>
            <w:tcBorders>
              <w:bottom w:val="single" w:sz="4" w:space="0" w:color="auto"/>
            </w:tcBorders>
            <w:shd w:val="clear" w:color="auto" w:fill="auto"/>
          </w:tcPr>
          <w:p w14:paraId="5DCFE44A" w14:textId="7E005A41" w:rsidR="004A470B" w:rsidRPr="004F673A" w:rsidRDefault="004A470B" w:rsidP="004F673A">
            <w:pPr>
              <w:spacing w:line="259" w:lineRule="auto"/>
              <w:ind w:firstLine="0"/>
              <w:contextualSpacing w:val="0"/>
              <w:jc w:val="left"/>
              <w:rPr>
                <w:b/>
                <w:bCs/>
              </w:rPr>
            </w:pPr>
            <w:r w:rsidRPr="004F673A">
              <w:rPr>
                <w:b/>
                <w:bCs/>
                <w:lang w:val="en-IL"/>
              </w:rPr>
              <w:t>.50 Quantile</w:t>
            </w:r>
          </w:p>
        </w:tc>
        <w:tc>
          <w:tcPr>
            <w:tcW w:w="1541" w:type="dxa"/>
            <w:tcBorders>
              <w:bottom w:val="single" w:sz="4" w:space="0" w:color="auto"/>
            </w:tcBorders>
            <w:shd w:val="clear" w:color="auto" w:fill="auto"/>
          </w:tcPr>
          <w:p w14:paraId="0B75C77F" w14:textId="6E936613" w:rsidR="004A470B" w:rsidRPr="004F673A" w:rsidRDefault="004A470B" w:rsidP="004F673A">
            <w:pPr>
              <w:spacing w:line="259" w:lineRule="auto"/>
              <w:ind w:firstLine="0"/>
              <w:contextualSpacing w:val="0"/>
              <w:jc w:val="left"/>
              <w:rPr>
                <w:b/>
                <w:bCs/>
              </w:rPr>
            </w:pPr>
            <w:r w:rsidRPr="004F673A">
              <w:rPr>
                <w:b/>
                <w:bCs/>
                <w:lang w:val="en-IL"/>
              </w:rPr>
              <w:t>.75 Quantile</w:t>
            </w:r>
          </w:p>
        </w:tc>
        <w:tc>
          <w:tcPr>
            <w:tcW w:w="1702" w:type="dxa"/>
            <w:tcBorders>
              <w:bottom w:val="single" w:sz="4" w:space="0" w:color="auto"/>
            </w:tcBorders>
            <w:shd w:val="clear" w:color="auto" w:fill="auto"/>
          </w:tcPr>
          <w:p w14:paraId="40731A18" w14:textId="79FE0F66" w:rsidR="004A470B" w:rsidRPr="004F673A" w:rsidRDefault="004A470B" w:rsidP="004F673A">
            <w:pPr>
              <w:spacing w:line="259" w:lineRule="auto"/>
              <w:ind w:firstLine="0"/>
              <w:contextualSpacing w:val="0"/>
              <w:jc w:val="left"/>
              <w:rPr>
                <w:b/>
                <w:bCs/>
                <w:lang w:val="en-IL"/>
              </w:rPr>
            </w:pPr>
            <w:r w:rsidRPr="004F673A">
              <w:rPr>
                <w:b/>
                <w:bCs/>
                <w:lang w:val="en-IL"/>
              </w:rPr>
              <w:t>Maximum</w:t>
            </w:r>
          </w:p>
        </w:tc>
      </w:tr>
      <w:tr w:rsidR="004A470B" w14:paraId="10F072F2" w14:textId="77777777" w:rsidTr="004A470B">
        <w:tc>
          <w:tcPr>
            <w:tcW w:w="1134" w:type="dxa"/>
            <w:tcBorders>
              <w:top w:val="single" w:sz="4" w:space="0" w:color="auto"/>
              <w:right w:val="single" w:sz="4" w:space="0" w:color="auto"/>
            </w:tcBorders>
            <w:shd w:val="clear" w:color="auto" w:fill="auto"/>
          </w:tcPr>
          <w:p w14:paraId="0D6372A7" w14:textId="4D278201" w:rsidR="004A470B" w:rsidRPr="004F673A" w:rsidRDefault="004A470B" w:rsidP="004C2770">
            <w:pPr>
              <w:spacing w:line="259" w:lineRule="auto"/>
              <w:ind w:firstLine="0"/>
              <w:contextualSpacing w:val="0"/>
              <w:jc w:val="left"/>
              <w:rPr>
                <w:lang w:val="en-IL"/>
              </w:rPr>
            </w:pPr>
            <w:r>
              <w:rPr>
                <w:b/>
                <w:bCs/>
                <w:lang w:val="en-IL"/>
              </w:rPr>
              <w:t>Study 1</w:t>
            </w:r>
          </w:p>
        </w:tc>
        <w:tc>
          <w:tcPr>
            <w:tcW w:w="2195" w:type="dxa"/>
            <w:tcBorders>
              <w:top w:val="single" w:sz="4" w:space="0" w:color="auto"/>
            </w:tcBorders>
            <w:shd w:val="clear" w:color="auto" w:fill="E7E6E6" w:themeFill="background2"/>
            <w:vAlign w:val="bottom"/>
          </w:tcPr>
          <w:p w14:paraId="5BAD32B7" w14:textId="2BFC6961" w:rsidR="004A470B" w:rsidRPr="004F673A" w:rsidRDefault="004A470B" w:rsidP="004C2770">
            <w:pPr>
              <w:spacing w:line="259" w:lineRule="auto"/>
              <w:ind w:firstLine="0"/>
              <w:contextualSpacing w:val="0"/>
              <w:jc w:val="left"/>
              <w:rPr>
                <w:lang w:val="en-IL"/>
              </w:rPr>
            </w:pPr>
            <w:r w:rsidRPr="004F673A">
              <w:rPr>
                <w:lang w:val="en-IL"/>
              </w:rPr>
              <w:t>PTQ</w:t>
            </w:r>
          </w:p>
        </w:tc>
        <w:tc>
          <w:tcPr>
            <w:tcW w:w="1793" w:type="dxa"/>
            <w:tcBorders>
              <w:top w:val="single" w:sz="4" w:space="0" w:color="auto"/>
              <w:left w:val="nil"/>
            </w:tcBorders>
            <w:shd w:val="clear" w:color="auto" w:fill="E7E6E6" w:themeFill="background2"/>
            <w:vAlign w:val="bottom"/>
          </w:tcPr>
          <w:p w14:paraId="1E7F7963" w14:textId="117C17F7" w:rsidR="004A470B" w:rsidRPr="004C2770" w:rsidRDefault="004A470B" w:rsidP="004C2770">
            <w:pPr>
              <w:spacing w:line="259" w:lineRule="auto"/>
              <w:ind w:firstLine="0"/>
              <w:contextualSpacing w:val="0"/>
              <w:jc w:val="left"/>
              <w:rPr>
                <w:lang w:val="en-IL"/>
              </w:rPr>
            </w:pPr>
            <w:r w:rsidRPr="009A65A3">
              <w:rPr>
                <w:lang w:val="en-IL"/>
              </w:rPr>
              <w:t>22.44 (13.72)</w:t>
            </w:r>
          </w:p>
        </w:tc>
        <w:tc>
          <w:tcPr>
            <w:tcW w:w="1905" w:type="dxa"/>
            <w:tcBorders>
              <w:top w:val="single" w:sz="4" w:space="0" w:color="auto"/>
            </w:tcBorders>
            <w:shd w:val="clear" w:color="auto" w:fill="E7E6E6" w:themeFill="background2"/>
            <w:vAlign w:val="bottom"/>
          </w:tcPr>
          <w:p w14:paraId="1B609BD1" w14:textId="711F6AA5" w:rsidR="004A470B" w:rsidRPr="004C2770" w:rsidRDefault="004A470B" w:rsidP="004C2770">
            <w:pPr>
              <w:spacing w:line="259" w:lineRule="auto"/>
              <w:ind w:firstLine="0"/>
              <w:contextualSpacing w:val="0"/>
              <w:jc w:val="left"/>
              <w:rPr>
                <w:lang w:val="en-IL"/>
              </w:rPr>
            </w:pPr>
            <w:r>
              <w:rPr>
                <w:lang w:val="en-IL"/>
              </w:rPr>
              <w:t>0</w:t>
            </w:r>
          </w:p>
        </w:tc>
        <w:tc>
          <w:tcPr>
            <w:tcW w:w="1541" w:type="dxa"/>
            <w:tcBorders>
              <w:top w:val="single" w:sz="4" w:space="0" w:color="auto"/>
            </w:tcBorders>
            <w:shd w:val="clear" w:color="auto" w:fill="E7E6E6" w:themeFill="background2"/>
            <w:vAlign w:val="bottom"/>
          </w:tcPr>
          <w:p w14:paraId="64465406" w14:textId="13857890" w:rsidR="004A470B" w:rsidRPr="009A65A3" w:rsidRDefault="004A470B" w:rsidP="004C2770">
            <w:pPr>
              <w:spacing w:line="259" w:lineRule="auto"/>
              <w:ind w:firstLine="0"/>
              <w:contextualSpacing w:val="0"/>
              <w:jc w:val="left"/>
              <w:rPr>
                <w:lang w:val="en-IL"/>
              </w:rPr>
            </w:pPr>
            <w:r w:rsidRPr="009A65A3">
              <w:rPr>
                <w:lang w:val="en-IL"/>
              </w:rPr>
              <w:t>11</w:t>
            </w:r>
          </w:p>
        </w:tc>
        <w:tc>
          <w:tcPr>
            <w:tcW w:w="1541" w:type="dxa"/>
            <w:tcBorders>
              <w:top w:val="single" w:sz="4" w:space="0" w:color="auto"/>
            </w:tcBorders>
            <w:shd w:val="clear" w:color="auto" w:fill="E7E6E6" w:themeFill="background2"/>
            <w:vAlign w:val="bottom"/>
          </w:tcPr>
          <w:p w14:paraId="791265BC" w14:textId="026EDF91" w:rsidR="004A470B" w:rsidRPr="009A65A3" w:rsidRDefault="004A470B" w:rsidP="004C2770">
            <w:pPr>
              <w:spacing w:line="259" w:lineRule="auto"/>
              <w:ind w:firstLine="0"/>
              <w:contextualSpacing w:val="0"/>
              <w:jc w:val="left"/>
              <w:rPr>
                <w:lang w:val="en-IL"/>
              </w:rPr>
            </w:pPr>
            <w:r w:rsidRPr="009A65A3">
              <w:rPr>
                <w:lang w:val="en-IL"/>
              </w:rPr>
              <w:t>23</w:t>
            </w:r>
          </w:p>
        </w:tc>
        <w:tc>
          <w:tcPr>
            <w:tcW w:w="1541" w:type="dxa"/>
            <w:tcBorders>
              <w:top w:val="single" w:sz="4" w:space="0" w:color="auto"/>
            </w:tcBorders>
            <w:shd w:val="clear" w:color="auto" w:fill="E7E6E6" w:themeFill="background2"/>
            <w:vAlign w:val="bottom"/>
          </w:tcPr>
          <w:p w14:paraId="51D5CB4A" w14:textId="72837A71" w:rsidR="004A470B" w:rsidRPr="009A65A3" w:rsidRDefault="004A470B" w:rsidP="004C2770">
            <w:pPr>
              <w:spacing w:line="259" w:lineRule="auto"/>
              <w:ind w:firstLine="0"/>
              <w:contextualSpacing w:val="0"/>
              <w:jc w:val="left"/>
              <w:rPr>
                <w:lang w:val="en-IL"/>
              </w:rPr>
            </w:pPr>
            <w:r w:rsidRPr="009A65A3">
              <w:rPr>
                <w:lang w:val="en-IL"/>
              </w:rPr>
              <w:t>31</w:t>
            </w:r>
          </w:p>
        </w:tc>
        <w:tc>
          <w:tcPr>
            <w:tcW w:w="1702" w:type="dxa"/>
            <w:tcBorders>
              <w:top w:val="single" w:sz="4" w:space="0" w:color="auto"/>
            </w:tcBorders>
            <w:shd w:val="clear" w:color="auto" w:fill="E7E6E6" w:themeFill="background2"/>
            <w:vAlign w:val="bottom"/>
          </w:tcPr>
          <w:p w14:paraId="11E4C89A" w14:textId="62C69103" w:rsidR="004A470B" w:rsidRPr="009A65A3" w:rsidRDefault="004A470B" w:rsidP="004C2770">
            <w:pPr>
              <w:spacing w:line="259" w:lineRule="auto"/>
              <w:ind w:firstLine="0"/>
              <w:contextualSpacing w:val="0"/>
              <w:jc w:val="left"/>
              <w:rPr>
                <w:lang w:val="en-IL"/>
              </w:rPr>
            </w:pPr>
            <w:r w:rsidRPr="009A65A3">
              <w:rPr>
                <w:lang w:val="en-IL"/>
              </w:rPr>
              <w:t>58</w:t>
            </w:r>
          </w:p>
        </w:tc>
      </w:tr>
      <w:tr w:rsidR="004A470B" w14:paraId="7B4F2446" w14:textId="77777777" w:rsidTr="004A470B">
        <w:tc>
          <w:tcPr>
            <w:tcW w:w="1134" w:type="dxa"/>
            <w:tcBorders>
              <w:right w:val="single" w:sz="4" w:space="0" w:color="auto"/>
            </w:tcBorders>
            <w:shd w:val="clear" w:color="auto" w:fill="auto"/>
          </w:tcPr>
          <w:p w14:paraId="0CB2DBDA" w14:textId="214D10EA" w:rsidR="004A470B" w:rsidRPr="004F673A" w:rsidRDefault="006A7B2C" w:rsidP="004C2770">
            <w:pPr>
              <w:spacing w:line="259" w:lineRule="auto"/>
              <w:ind w:firstLine="0"/>
              <w:contextualSpacing w:val="0"/>
              <w:jc w:val="left"/>
              <w:rPr>
                <w:color w:val="000000"/>
                <w:lang w:val="en-IL"/>
              </w:rPr>
            </w:pPr>
            <w:r>
              <w:rPr>
                <w:color w:val="000000"/>
                <w:lang w:val="en-IL"/>
              </w:rPr>
              <w:t>(N = 48)</w:t>
            </w:r>
          </w:p>
        </w:tc>
        <w:tc>
          <w:tcPr>
            <w:tcW w:w="2195" w:type="dxa"/>
            <w:shd w:val="clear" w:color="auto" w:fill="auto"/>
            <w:vAlign w:val="bottom"/>
          </w:tcPr>
          <w:p w14:paraId="73766DD3" w14:textId="3B321DED" w:rsidR="004A470B" w:rsidRPr="004F673A" w:rsidRDefault="004A470B" w:rsidP="004C2770">
            <w:pPr>
              <w:spacing w:line="259" w:lineRule="auto"/>
              <w:ind w:firstLine="0"/>
              <w:contextualSpacing w:val="0"/>
              <w:jc w:val="left"/>
              <w:rPr>
                <w:lang w:val="en-IL"/>
              </w:rPr>
            </w:pPr>
            <w:r w:rsidRPr="009A65A3">
              <w:rPr>
                <w:lang w:val="en-IL"/>
              </w:rPr>
              <w:t>Brooding (RRS)</w:t>
            </w:r>
          </w:p>
        </w:tc>
        <w:tc>
          <w:tcPr>
            <w:tcW w:w="1793" w:type="dxa"/>
            <w:tcBorders>
              <w:left w:val="nil"/>
            </w:tcBorders>
            <w:shd w:val="clear" w:color="auto" w:fill="auto"/>
            <w:vAlign w:val="bottom"/>
          </w:tcPr>
          <w:p w14:paraId="21603589" w14:textId="24555A06" w:rsidR="004A470B" w:rsidRPr="004C2770" w:rsidRDefault="004A470B" w:rsidP="004C2770">
            <w:pPr>
              <w:spacing w:line="259" w:lineRule="auto"/>
              <w:ind w:firstLine="0"/>
              <w:contextualSpacing w:val="0"/>
              <w:jc w:val="left"/>
              <w:rPr>
                <w:lang w:val="en-IL"/>
              </w:rPr>
            </w:pPr>
            <w:r w:rsidRPr="009A65A3">
              <w:rPr>
                <w:lang w:val="en-IL"/>
              </w:rPr>
              <w:t>9.88 (3.98)</w:t>
            </w:r>
          </w:p>
        </w:tc>
        <w:tc>
          <w:tcPr>
            <w:tcW w:w="1905" w:type="dxa"/>
            <w:shd w:val="clear" w:color="auto" w:fill="auto"/>
            <w:vAlign w:val="bottom"/>
          </w:tcPr>
          <w:p w14:paraId="02F2823E" w14:textId="5D4B2823" w:rsidR="004A470B" w:rsidRPr="004C2770" w:rsidRDefault="004A470B" w:rsidP="004C2770">
            <w:pPr>
              <w:spacing w:line="259" w:lineRule="auto"/>
              <w:ind w:firstLine="0"/>
              <w:contextualSpacing w:val="0"/>
              <w:jc w:val="left"/>
              <w:rPr>
                <w:lang w:val="en-IL"/>
              </w:rPr>
            </w:pPr>
            <w:r>
              <w:rPr>
                <w:lang w:val="en-IL"/>
              </w:rPr>
              <w:t>5</w:t>
            </w:r>
          </w:p>
        </w:tc>
        <w:tc>
          <w:tcPr>
            <w:tcW w:w="1541" w:type="dxa"/>
            <w:shd w:val="clear" w:color="auto" w:fill="auto"/>
            <w:vAlign w:val="bottom"/>
          </w:tcPr>
          <w:p w14:paraId="2C7B4437" w14:textId="76B61AAB" w:rsidR="004A470B" w:rsidRPr="009A65A3" w:rsidRDefault="004A470B" w:rsidP="004C2770">
            <w:pPr>
              <w:spacing w:line="259" w:lineRule="auto"/>
              <w:ind w:firstLine="0"/>
              <w:contextualSpacing w:val="0"/>
              <w:jc w:val="left"/>
              <w:rPr>
                <w:lang w:val="en-IL"/>
              </w:rPr>
            </w:pPr>
            <w:r w:rsidRPr="009A65A3">
              <w:rPr>
                <w:lang w:val="en-IL"/>
              </w:rPr>
              <w:t>6</w:t>
            </w:r>
          </w:p>
        </w:tc>
        <w:tc>
          <w:tcPr>
            <w:tcW w:w="1541" w:type="dxa"/>
            <w:shd w:val="clear" w:color="auto" w:fill="auto"/>
            <w:vAlign w:val="bottom"/>
          </w:tcPr>
          <w:p w14:paraId="0FF4B499" w14:textId="432A189E" w:rsidR="004A470B" w:rsidRPr="009A65A3" w:rsidRDefault="004A470B" w:rsidP="004C2770">
            <w:pPr>
              <w:spacing w:line="259" w:lineRule="auto"/>
              <w:ind w:firstLine="0"/>
              <w:contextualSpacing w:val="0"/>
              <w:jc w:val="left"/>
              <w:rPr>
                <w:lang w:val="en-IL"/>
              </w:rPr>
            </w:pPr>
            <w:r w:rsidRPr="009A65A3">
              <w:rPr>
                <w:lang w:val="en-IL"/>
              </w:rPr>
              <w:t>9</w:t>
            </w:r>
          </w:p>
        </w:tc>
        <w:tc>
          <w:tcPr>
            <w:tcW w:w="1541" w:type="dxa"/>
            <w:shd w:val="clear" w:color="auto" w:fill="auto"/>
            <w:vAlign w:val="bottom"/>
          </w:tcPr>
          <w:p w14:paraId="39C1080E" w14:textId="40FF4109" w:rsidR="004A470B" w:rsidRPr="009A65A3" w:rsidRDefault="004A470B" w:rsidP="004C2770">
            <w:pPr>
              <w:spacing w:line="259" w:lineRule="auto"/>
              <w:ind w:firstLine="0"/>
              <w:contextualSpacing w:val="0"/>
              <w:jc w:val="left"/>
              <w:rPr>
                <w:lang w:val="en-IL"/>
              </w:rPr>
            </w:pPr>
            <w:r w:rsidRPr="009A65A3">
              <w:rPr>
                <w:lang w:val="en-IL"/>
              </w:rPr>
              <w:t>12</w:t>
            </w:r>
          </w:p>
        </w:tc>
        <w:tc>
          <w:tcPr>
            <w:tcW w:w="1702" w:type="dxa"/>
            <w:shd w:val="clear" w:color="auto" w:fill="auto"/>
            <w:vAlign w:val="bottom"/>
          </w:tcPr>
          <w:p w14:paraId="3D5EDCF3" w14:textId="060A2A26" w:rsidR="004A470B" w:rsidRPr="009A65A3" w:rsidRDefault="004A470B" w:rsidP="004C2770">
            <w:pPr>
              <w:spacing w:line="259" w:lineRule="auto"/>
              <w:ind w:firstLine="0"/>
              <w:contextualSpacing w:val="0"/>
              <w:jc w:val="left"/>
              <w:rPr>
                <w:lang w:val="en-IL"/>
              </w:rPr>
            </w:pPr>
            <w:r w:rsidRPr="009A65A3">
              <w:rPr>
                <w:lang w:val="en-IL"/>
              </w:rPr>
              <w:t>19</w:t>
            </w:r>
          </w:p>
        </w:tc>
      </w:tr>
      <w:tr w:rsidR="004A470B" w14:paraId="1E898363" w14:textId="77777777" w:rsidTr="004A470B">
        <w:tc>
          <w:tcPr>
            <w:tcW w:w="1134" w:type="dxa"/>
            <w:tcBorders>
              <w:right w:val="single" w:sz="4" w:space="0" w:color="auto"/>
            </w:tcBorders>
            <w:shd w:val="clear" w:color="auto" w:fill="auto"/>
          </w:tcPr>
          <w:p w14:paraId="1F25D77F" w14:textId="77777777" w:rsidR="004A470B" w:rsidRPr="004F673A" w:rsidRDefault="004A470B" w:rsidP="004C2770">
            <w:pPr>
              <w:spacing w:line="259" w:lineRule="auto"/>
              <w:ind w:firstLine="0"/>
              <w:contextualSpacing w:val="0"/>
              <w:jc w:val="left"/>
              <w:rPr>
                <w:color w:val="000000"/>
                <w:lang w:val="en-IL"/>
              </w:rPr>
            </w:pPr>
          </w:p>
        </w:tc>
        <w:tc>
          <w:tcPr>
            <w:tcW w:w="2195" w:type="dxa"/>
            <w:shd w:val="clear" w:color="auto" w:fill="E7E6E6" w:themeFill="background2"/>
            <w:vAlign w:val="bottom"/>
          </w:tcPr>
          <w:p w14:paraId="262F9501" w14:textId="44A8EA00" w:rsidR="004A470B" w:rsidRPr="004F673A" w:rsidRDefault="004A470B" w:rsidP="004C2770">
            <w:pPr>
              <w:spacing w:line="259" w:lineRule="auto"/>
              <w:ind w:firstLine="0"/>
              <w:contextualSpacing w:val="0"/>
              <w:jc w:val="left"/>
              <w:rPr>
                <w:lang w:val="en-IL"/>
              </w:rPr>
            </w:pPr>
            <w:r w:rsidRPr="009A65A3">
              <w:rPr>
                <w:lang w:val="en-IL"/>
              </w:rPr>
              <w:t>PSWQ</w:t>
            </w:r>
          </w:p>
        </w:tc>
        <w:tc>
          <w:tcPr>
            <w:tcW w:w="1793" w:type="dxa"/>
            <w:tcBorders>
              <w:left w:val="nil"/>
            </w:tcBorders>
            <w:shd w:val="clear" w:color="auto" w:fill="E7E6E6" w:themeFill="background2"/>
            <w:vAlign w:val="bottom"/>
          </w:tcPr>
          <w:p w14:paraId="0A741FB5" w14:textId="11B26424" w:rsidR="004A470B" w:rsidRPr="004C2770" w:rsidRDefault="004A470B" w:rsidP="004C2770">
            <w:pPr>
              <w:spacing w:line="259" w:lineRule="auto"/>
              <w:ind w:firstLine="0"/>
              <w:contextualSpacing w:val="0"/>
              <w:jc w:val="left"/>
              <w:rPr>
                <w:lang w:val="en-IL"/>
              </w:rPr>
            </w:pPr>
            <w:r w:rsidRPr="009A65A3">
              <w:rPr>
                <w:lang w:val="en-IL"/>
              </w:rPr>
              <w:t>51.42 (12.86)</w:t>
            </w:r>
          </w:p>
        </w:tc>
        <w:tc>
          <w:tcPr>
            <w:tcW w:w="1905" w:type="dxa"/>
            <w:shd w:val="clear" w:color="auto" w:fill="E7E6E6" w:themeFill="background2"/>
            <w:vAlign w:val="bottom"/>
          </w:tcPr>
          <w:p w14:paraId="23F11C27" w14:textId="3678A61E" w:rsidR="004A470B" w:rsidRPr="004C2770" w:rsidRDefault="004A470B" w:rsidP="004C2770">
            <w:pPr>
              <w:spacing w:line="259" w:lineRule="auto"/>
              <w:ind w:firstLine="0"/>
              <w:contextualSpacing w:val="0"/>
              <w:jc w:val="left"/>
              <w:rPr>
                <w:lang w:val="en-IL"/>
              </w:rPr>
            </w:pPr>
            <w:r>
              <w:rPr>
                <w:lang w:val="en-IL"/>
              </w:rPr>
              <w:t>30</w:t>
            </w:r>
          </w:p>
        </w:tc>
        <w:tc>
          <w:tcPr>
            <w:tcW w:w="1541" w:type="dxa"/>
            <w:shd w:val="clear" w:color="auto" w:fill="E7E6E6" w:themeFill="background2"/>
            <w:vAlign w:val="bottom"/>
          </w:tcPr>
          <w:p w14:paraId="73D1BCE3" w14:textId="4EFFA4A8" w:rsidR="004A470B" w:rsidRPr="009A65A3" w:rsidRDefault="004A470B" w:rsidP="004C2770">
            <w:pPr>
              <w:spacing w:line="259" w:lineRule="auto"/>
              <w:ind w:firstLine="0"/>
              <w:contextualSpacing w:val="0"/>
              <w:jc w:val="left"/>
              <w:rPr>
                <w:lang w:val="en-IL"/>
              </w:rPr>
            </w:pPr>
            <w:r w:rsidRPr="009A65A3">
              <w:rPr>
                <w:lang w:val="en-IL"/>
              </w:rPr>
              <w:t>43</w:t>
            </w:r>
          </w:p>
        </w:tc>
        <w:tc>
          <w:tcPr>
            <w:tcW w:w="1541" w:type="dxa"/>
            <w:shd w:val="clear" w:color="auto" w:fill="E7E6E6" w:themeFill="background2"/>
            <w:vAlign w:val="bottom"/>
          </w:tcPr>
          <w:p w14:paraId="50483D8F" w14:textId="405CAB5B" w:rsidR="004A470B" w:rsidRPr="009A65A3" w:rsidRDefault="004A470B" w:rsidP="004C2770">
            <w:pPr>
              <w:spacing w:line="259" w:lineRule="auto"/>
              <w:ind w:firstLine="0"/>
              <w:contextualSpacing w:val="0"/>
              <w:jc w:val="left"/>
              <w:rPr>
                <w:lang w:val="en-IL"/>
              </w:rPr>
            </w:pPr>
            <w:r w:rsidRPr="009A65A3">
              <w:rPr>
                <w:lang w:val="en-IL"/>
              </w:rPr>
              <w:t>53</w:t>
            </w:r>
          </w:p>
        </w:tc>
        <w:tc>
          <w:tcPr>
            <w:tcW w:w="1541" w:type="dxa"/>
            <w:shd w:val="clear" w:color="auto" w:fill="E7E6E6" w:themeFill="background2"/>
            <w:vAlign w:val="bottom"/>
          </w:tcPr>
          <w:p w14:paraId="7E6E82C4" w14:textId="3E26923B" w:rsidR="004A470B" w:rsidRPr="009A65A3" w:rsidRDefault="004A470B" w:rsidP="004C2770">
            <w:pPr>
              <w:spacing w:line="259" w:lineRule="auto"/>
              <w:ind w:firstLine="0"/>
              <w:contextualSpacing w:val="0"/>
              <w:jc w:val="left"/>
              <w:rPr>
                <w:lang w:val="en-IL"/>
              </w:rPr>
            </w:pPr>
            <w:r w:rsidRPr="009A65A3">
              <w:rPr>
                <w:lang w:val="en-IL"/>
              </w:rPr>
              <w:t>62</w:t>
            </w:r>
          </w:p>
        </w:tc>
        <w:tc>
          <w:tcPr>
            <w:tcW w:w="1702" w:type="dxa"/>
            <w:shd w:val="clear" w:color="auto" w:fill="E7E6E6" w:themeFill="background2"/>
            <w:vAlign w:val="bottom"/>
          </w:tcPr>
          <w:p w14:paraId="709BA804" w14:textId="605C6690" w:rsidR="004A470B" w:rsidRPr="009A65A3" w:rsidRDefault="004A470B" w:rsidP="004C2770">
            <w:pPr>
              <w:spacing w:line="259" w:lineRule="auto"/>
              <w:ind w:firstLine="0"/>
              <w:contextualSpacing w:val="0"/>
              <w:jc w:val="left"/>
              <w:rPr>
                <w:lang w:val="en-IL"/>
              </w:rPr>
            </w:pPr>
            <w:r w:rsidRPr="009A65A3">
              <w:rPr>
                <w:lang w:val="en-IL"/>
              </w:rPr>
              <w:t>76</w:t>
            </w:r>
          </w:p>
        </w:tc>
      </w:tr>
      <w:tr w:rsidR="004A470B" w14:paraId="26DC4CB0" w14:textId="77777777" w:rsidTr="004A470B">
        <w:tc>
          <w:tcPr>
            <w:tcW w:w="1134" w:type="dxa"/>
            <w:tcBorders>
              <w:right w:val="single" w:sz="4" w:space="0" w:color="auto"/>
            </w:tcBorders>
            <w:shd w:val="clear" w:color="auto" w:fill="auto"/>
          </w:tcPr>
          <w:p w14:paraId="7A50E605" w14:textId="77777777" w:rsidR="004A470B" w:rsidRPr="004F673A" w:rsidRDefault="004A470B" w:rsidP="004C2770">
            <w:pPr>
              <w:spacing w:line="259" w:lineRule="auto"/>
              <w:ind w:firstLine="0"/>
              <w:contextualSpacing w:val="0"/>
              <w:jc w:val="left"/>
              <w:rPr>
                <w:color w:val="000000"/>
                <w:lang w:val="en-IL"/>
              </w:rPr>
            </w:pPr>
          </w:p>
        </w:tc>
        <w:tc>
          <w:tcPr>
            <w:tcW w:w="2195" w:type="dxa"/>
            <w:shd w:val="clear" w:color="auto" w:fill="auto"/>
            <w:vAlign w:val="bottom"/>
          </w:tcPr>
          <w:p w14:paraId="1C823007" w14:textId="09C8E048" w:rsidR="004A470B" w:rsidRPr="004F673A" w:rsidRDefault="004A470B" w:rsidP="004C2770">
            <w:pPr>
              <w:spacing w:line="259" w:lineRule="auto"/>
              <w:ind w:firstLine="0"/>
              <w:contextualSpacing w:val="0"/>
              <w:jc w:val="left"/>
              <w:rPr>
                <w:lang w:val="en-IL"/>
              </w:rPr>
            </w:pPr>
            <w:r w:rsidRPr="009A65A3">
              <w:rPr>
                <w:lang w:val="en-IL"/>
              </w:rPr>
              <w:t>CFQ</w:t>
            </w:r>
          </w:p>
        </w:tc>
        <w:tc>
          <w:tcPr>
            <w:tcW w:w="1793" w:type="dxa"/>
            <w:tcBorders>
              <w:left w:val="nil"/>
            </w:tcBorders>
            <w:shd w:val="clear" w:color="auto" w:fill="auto"/>
            <w:vAlign w:val="bottom"/>
          </w:tcPr>
          <w:p w14:paraId="497945D3" w14:textId="4B8C151C" w:rsidR="004A470B" w:rsidRPr="004C2770" w:rsidRDefault="004A470B" w:rsidP="004C2770">
            <w:pPr>
              <w:spacing w:line="259" w:lineRule="auto"/>
              <w:ind w:firstLine="0"/>
              <w:contextualSpacing w:val="0"/>
              <w:jc w:val="left"/>
              <w:rPr>
                <w:lang w:val="en-IL"/>
              </w:rPr>
            </w:pPr>
            <w:r w:rsidRPr="009A65A3">
              <w:rPr>
                <w:lang w:val="en-IL"/>
              </w:rPr>
              <w:t>20.54 (9.77)</w:t>
            </w:r>
          </w:p>
        </w:tc>
        <w:tc>
          <w:tcPr>
            <w:tcW w:w="1905" w:type="dxa"/>
            <w:shd w:val="clear" w:color="auto" w:fill="auto"/>
            <w:vAlign w:val="bottom"/>
          </w:tcPr>
          <w:p w14:paraId="4C787BDB" w14:textId="4D89AA2F" w:rsidR="004A470B" w:rsidRPr="004C2770" w:rsidRDefault="004A470B" w:rsidP="004C2770">
            <w:pPr>
              <w:spacing w:line="259" w:lineRule="auto"/>
              <w:ind w:firstLine="0"/>
              <w:contextualSpacing w:val="0"/>
              <w:jc w:val="left"/>
              <w:rPr>
                <w:lang w:val="en-IL"/>
              </w:rPr>
            </w:pPr>
            <w:r>
              <w:rPr>
                <w:lang w:val="en-IL"/>
              </w:rPr>
              <w:t>7</w:t>
            </w:r>
          </w:p>
        </w:tc>
        <w:tc>
          <w:tcPr>
            <w:tcW w:w="1541" w:type="dxa"/>
            <w:shd w:val="clear" w:color="auto" w:fill="auto"/>
            <w:vAlign w:val="bottom"/>
          </w:tcPr>
          <w:p w14:paraId="45344FFC" w14:textId="53D78CEF" w:rsidR="004A470B" w:rsidRPr="009A65A3" w:rsidRDefault="004A470B" w:rsidP="004C2770">
            <w:pPr>
              <w:spacing w:line="259" w:lineRule="auto"/>
              <w:ind w:firstLine="0"/>
              <w:contextualSpacing w:val="0"/>
              <w:jc w:val="left"/>
              <w:rPr>
                <w:lang w:val="en-IL"/>
              </w:rPr>
            </w:pPr>
            <w:r w:rsidRPr="009A65A3">
              <w:rPr>
                <w:lang w:val="en-IL"/>
              </w:rPr>
              <w:t>12</w:t>
            </w:r>
          </w:p>
        </w:tc>
        <w:tc>
          <w:tcPr>
            <w:tcW w:w="1541" w:type="dxa"/>
            <w:shd w:val="clear" w:color="auto" w:fill="auto"/>
            <w:vAlign w:val="bottom"/>
          </w:tcPr>
          <w:p w14:paraId="02ED3EB5" w14:textId="0F4698E0" w:rsidR="004A470B" w:rsidRPr="009A65A3" w:rsidRDefault="004A470B" w:rsidP="004C2770">
            <w:pPr>
              <w:spacing w:line="259" w:lineRule="auto"/>
              <w:ind w:firstLine="0"/>
              <w:contextualSpacing w:val="0"/>
              <w:jc w:val="left"/>
              <w:rPr>
                <w:lang w:val="en-IL"/>
              </w:rPr>
            </w:pPr>
            <w:r w:rsidRPr="009A65A3">
              <w:rPr>
                <w:lang w:val="en-IL"/>
              </w:rPr>
              <w:t>20</w:t>
            </w:r>
          </w:p>
        </w:tc>
        <w:tc>
          <w:tcPr>
            <w:tcW w:w="1541" w:type="dxa"/>
            <w:shd w:val="clear" w:color="auto" w:fill="auto"/>
            <w:vAlign w:val="bottom"/>
          </w:tcPr>
          <w:p w14:paraId="628B5628" w14:textId="22637A01" w:rsidR="004A470B" w:rsidRPr="009A65A3" w:rsidRDefault="004A470B" w:rsidP="004C2770">
            <w:pPr>
              <w:spacing w:line="259" w:lineRule="auto"/>
              <w:ind w:firstLine="0"/>
              <w:contextualSpacing w:val="0"/>
              <w:jc w:val="left"/>
              <w:rPr>
                <w:lang w:val="en-IL"/>
              </w:rPr>
            </w:pPr>
            <w:r w:rsidRPr="009A65A3">
              <w:rPr>
                <w:lang w:val="en-IL"/>
              </w:rPr>
              <w:t>28</w:t>
            </w:r>
          </w:p>
        </w:tc>
        <w:tc>
          <w:tcPr>
            <w:tcW w:w="1702" w:type="dxa"/>
            <w:shd w:val="clear" w:color="auto" w:fill="auto"/>
            <w:vAlign w:val="bottom"/>
          </w:tcPr>
          <w:p w14:paraId="1675236A" w14:textId="5350CE31" w:rsidR="004A470B" w:rsidRPr="009A65A3" w:rsidRDefault="004A470B" w:rsidP="004C2770">
            <w:pPr>
              <w:spacing w:line="259" w:lineRule="auto"/>
              <w:ind w:firstLine="0"/>
              <w:contextualSpacing w:val="0"/>
              <w:jc w:val="left"/>
              <w:rPr>
                <w:lang w:val="en-IL"/>
              </w:rPr>
            </w:pPr>
            <w:r w:rsidRPr="009A65A3">
              <w:rPr>
                <w:lang w:val="en-IL"/>
              </w:rPr>
              <w:t>49</w:t>
            </w:r>
          </w:p>
        </w:tc>
      </w:tr>
      <w:tr w:rsidR="004A470B" w14:paraId="5EEF09B9" w14:textId="77777777" w:rsidTr="004A470B">
        <w:tc>
          <w:tcPr>
            <w:tcW w:w="1134" w:type="dxa"/>
            <w:tcBorders>
              <w:right w:val="single" w:sz="4" w:space="0" w:color="auto"/>
            </w:tcBorders>
            <w:shd w:val="clear" w:color="auto" w:fill="auto"/>
          </w:tcPr>
          <w:p w14:paraId="579F7EF9" w14:textId="77777777" w:rsidR="004A470B" w:rsidRPr="004F673A" w:rsidRDefault="004A470B" w:rsidP="004C2770">
            <w:pPr>
              <w:spacing w:line="259" w:lineRule="auto"/>
              <w:ind w:firstLine="0"/>
              <w:contextualSpacing w:val="0"/>
              <w:jc w:val="left"/>
              <w:rPr>
                <w:color w:val="000000"/>
                <w:lang w:val="en-IL"/>
              </w:rPr>
            </w:pPr>
          </w:p>
        </w:tc>
        <w:tc>
          <w:tcPr>
            <w:tcW w:w="2195" w:type="dxa"/>
            <w:shd w:val="clear" w:color="auto" w:fill="E7E6E6" w:themeFill="background2"/>
            <w:vAlign w:val="bottom"/>
          </w:tcPr>
          <w:p w14:paraId="192E6120" w14:textId="0C95530B" w:rsidR="004A470B" w:rsidRPr="004F673A" w:rsidRDefault="004A470B" w:rsidP="004C2770">
            <w:pPr>
              <w:spacing w:line="259" w:lineRule="auto"/>
              <w:ind w:firstLine="0"/>
              <w:contextualSpacing w:val="0"/>
              <w:jc w:val="left"/>
              <w:rPr>
                <w:lang w:val="en-IL"/>
              </w:rPr>
            </w:pPr>
            <w:r w:rsidRPr="009A65A3">
              <w:rPr>
                <w:lang w:val="en-IL"/>
              </w:rPr>
              <w:t>PHQ-9</w:t>
            </w:r>
          </w:p>
        </w:tc>
        <w:tc>
          <w:tcPr>
            <w:tcW w:w="1793" w:type="dxa"/>
            <w:tcBorders>
              <w:left w:val="nil"/>
            </w:tcBorders>
            <w:shd w:val="clear" w:color="auto" w:fill="E7E6E6" w:themeFill="background2"/>
            <w:vAlign w:val="bottom"/>
          </w:tcPr>
          <w:p w14:paraId="2350D4AE" w14:textId="3C59CB9F" w:rsidR="004A470B" w:rsidRPr="004C2770" w:rsidRDefault="004A470B" w:rsidP="004C2770">
            <w:pPr>
              <w:spacing w:line="259" w:lineRule="auto"/>
              <w:ind w:firstLine="0"/>
              <w:contextualSpacing w:val="0"/>
              <w:jc w:val="left"/>
              <w:rPr>
                <w:lang w:val="en-IL"/>
              </w:rPr>
            </w:pPr>
            <w:r w:rsidRPr="009A65A3">
              <w:rPr>
                <w:lang w:val="en-IL"/>
              </w:rPr>
              <w:t>5.18 (4.15)</w:t>
            </w:r>
          </w:p>
        </w:tc>
        <w:tc>
          <w:tcPr>
            <w:tcW w:w="1905" w:type="dxa"/>
            <w:shd w:val="clear" w:color="auto" w:fill="E7E6E6" w:themeFill="background2"/>
            <w:vAlign w:val="bottom"/>
          </w:tcPr>
          <w:p w14:paraId="6EFBD8B2" w14:textId="3552AC62" w:rsidR="004A470B" w:rsidRPr="004C2770" w:rsidRDefault="004A470B" w:rsidP="004C2770">
            <w:pPr>
              <w:spacing w:line="259" w:lineRule="auto"/>
              <w:ind w:firstLine="0"/>
              <w:contextualSpacing w:val="0"/>
              <w:jc w:val="left"/>
              <w:rPr>
                <w:lang w:val="en-IL"/>
              </w:rPr>
            </w:pPr>
            <w:r>
              <w:rPr>
                <w:lang w:val="en-IL"/>
              </w:rPr>
              <w:t>0</w:t>
            </w:r>
          </w:p>
        </w:tc>
        <w:tc>
          <w:tcPr>
            <w:tcW w:w="1541" w:type="dxa"/>
            <w:shd w:val="clear" w:color="auto" w:fill="E7E6E6" w:themeFill="background2"/>
            <w:vAlign w:val="bottom"/>
          </w:tcPr>
          <w:p w14:paraId="4EB51B6D" w14:textId="5E031427" w:rsidR="004A470B" w:rsidRPr="009A65A3" w:rsidRDefault="004A470B" w:rsidP="004C2770">
            <w:pPr>
              <w:spacing w:line="259" w:lineRule="auto"/>
              <w:ind w:firstLine="0"/>
              <w:contextualSpacing w:val="0"/>
              <w:jc w:val="left"/>
              <w:rPr>
                <w:lang w:val="en-IL"/>
              </w:rPr>
            </w:pPr>
            <w:r w:rsidRPr="009A65A3">
              <w:rPr>
                <w:lang w:val="en-IL"/>
              </w:rPr>
              <w:t>2</w:t>
            </w:r>
          </w:p>
        </w:tc>
        <w:tc>
          <w:tcPr>
            <w:tcW w:w="1541" w:type="dxa"/>
            <w:shd w:val="clear" w:color="auto" w:fill="E7E6E6" w:themeFill="background2"/>
            <w:vAlign w:val="bottom"/>
          </w:tcPr>
          <w:p w14:paraId="14E9FAB1" w14:textId="3728FAA7" w:rsidR="004A470B" w:rsidRPr="009A65A3" w:rsidRDefault="004A470B" w:rsidP="004C2770">
            <w:pPr>
              <w:spacing w:line="259" w:lineRule="auto"/>
              <w:ind w:firstLine="0"/>
              <w:contextualSpacing w:val="0"/>
              <w:jc w:val="left"/>
              <w:rPr>
                <w:lang w:val="en-IL"/>
              </w:rPr>
            </w:pPr>
            <w:r w:rsidRPr="009A65A3">
              <w:rPr>
                <w:lang w:val="en-IL"/>
              </w:rPr>
              <w:t>4.5</w:t>
            </w:r>
          </w:p>
        </w:tc>
        <w:tc>
          <w:tcPr>
            <w:tcW w:w="1541" w:type="dxa"/>
            <w:shd w:val="clear" w:color="auto" w:fill="E7E6E6" w:themeFill="background2"/>
            <w:vAlign w:val="bottom"/>
          </w:tcPr>
          <w:p w14:paraId="6F4326D3" w14:textId="3A24B462" w:rsidR="004A470B" w:rsidRPr="009A65A3" w:rsidRDefault="004A470B" w:rsidP="004C2770">
            <w:pPr>
              <w:spacing w:line="259" w:lineRule="auto"/>
              <w:ind w:firstLine="0"/>
              <w:contextualSpacing w:val="0"/>
              <w:jc w:val="left"/>
              <w:rPr>
                <w:lang w:val="en-IL"/>
              </w:rPr>
            </w:pPr>
            <w:r w:rsidRPr="009A65A3">
              <w:rPr>
                <w:lang w:val="en-IL"/>
              </w:rPr>
              <w:t>7</w:t>
            </w:r>
          </w:p>
        </w:tc>
        <w:tc>
          <w:tcPr>
            <w:tcW w:w="1702" w:type="dxa"/>
            <w:shd w:val="clear" w:color="auto" w:fill="E7E6E6" w:themeFill="background2"/>
            <w:vAlign w:val="bottom"/>
          </w:tcPr>
          <w:p w14:paraId="7E355446" w14:textId="124D0637" w:rsidR="004A470B" w:rsidRPr="009A65A3" w:rsidRDefault="004A470B" w:rsidP="004C2770">
            <w:pPr>
              <w:spacing w:line="259" w:lineRule="auto"/>
              <w:ind w:firstLine="0"/>
              <w:contextualSpacing w:val="0"/>
              <w:jc w:val="left"/>
              <w:rPr>
                <w:lang w:val="en-IL"/>
              </w:rPr>
            </w:pPr>
            <w:r w:rsidRPr="009A65A3">
              <w:rPr>
                <w:lang w:val="en-IL"/>
              </w:rPr>
              <w:t>21</w:t>
            </w:r>
          </w:p>
        </w:tc>
      </w:tr>
      <w:tr w:rsidR="004A470B" w14:paraId="67256B01" w14:textId="77777777" w:rsidTr="004A470B">
        <w:tc>
          <w:tcPr>
            <w:tcW w:w="1134" w:type="dxa"/>
            <w:tcBorders>
              <w:right w:val="single" w:sz="4" w:space="0" w:color="auto"/>
            </w:tcBorders>
            <w:shd w:val="clear" w:color="auto" w:fill="auto"/>
          </w:tcPr>
          <w:p w14:paraId="7DB07B10" w14:textId="77777777" w:rsidR="004A470B" w:rsidRPr="004F673A" w:rsidRDefault="004A470B" w:rsidP="004C2770">
            <w:pPr>
              <w:spacing w:line="259" w:lineRule="auto"/>
              <w:ind w:firstLine="0"/>
              <w:contextualSpacing w:val="0"/>
              <w:jc w:val="left"/>
              <w:rPr>
                <w:color w:val="000000"/>
                <w:lang w:val="en-IL"/>
              </w:rPr>
            </w:pPr>
          </w:p>
        </w:tc>
        <w:tc>
          <w:tcPr>
            <w:tcW w:w="2195" w:type="dxa"/>
            <w:shd w:val="clear" w:color="auto" w:fill="auto"/>
            <w:vAlign w:val="bottom"/>
          </w:tcPr>
          <w:p w14:paraId="0D4E1A66" w14:textId="1CD6F638" w:rsidR="004A470B" w:rsidRPr="004F673A" w:rsidRDefault="004A470B" w:rsidP="004C2770">
            <w:pPr>
              <w:spacing w:line="259" w:lineRule="auto"/>
              <w:ind w:firstLine="0"/>
              <w:contextualSpacing w:val="0"/>
              <w:jc w:val="left"/>
              <w:rPr>
                <w:lang w:val="en-IL"/>
              </w:rPr>
            </w:pPr>
            <w:r w:rsidRPr="009A65A3">
              <w:rPr>
                <w:lang w:val="en-IL"/>
              </w:rPr>
              <w:t>BAI</w:t>
            </w:r>
          </w:p>
        </w:tc>
        <w:tc>
          <w:tcPr>
            <w:tcW w:w="1793" w:type="dxa"/>
            <w:tcBorders>
              <w:left w:val="nil"/>
            </w:tcBorders>
            <w:shd w:val="clear" w:color="auto" w:fill="auto"/>
            <w:vAlign w:val="bottom"/>
          </w:tcPr>
          <w:p w14:paraId="085779EC" w14:textId="75E5E0F9" w:rsidR="004A470B" w:rsidRPr="004C2770" w:rsidRDefault="004A470B" w:rsidP="004C2770">
            <w:pPr>
              <w:spacing w:line="259" w:lineRule="auto"/>
              <w:ind w:firstLine="0"/>
              <w:contextualSpacing w:val="0"/>
              <w:jc w:val="left"/>
              <w:rPr>
                <w:lang w:val="en-IL"/>
              </w:rPr>
            </w:pPr>
            <w:r w:rsidRPr="009A65A3">
              <w:rPr>
                <w:lang w:val="en-IL"/>
              </w:rPr>
              <w:t>8.76 (9.51)</w:t>
            </w:r>
          </w:p>
        </w:tc>
        <w:tc>
          <w:tcPr>
            <w:tcW w:w="1905" w:type="dxa"/>
            <w:shd w:val="clear" w:color="auto" w:fill="auto"/>
            <w:vAlign w:val="bottom"/>
          </w:tcPr>
          <w:p w14:paraId="1EED156C" w14:textId="3FAC073D" w:rsidR="004A470B" w:rsidRPr="004C2770" w:rsidRDefault="004A470B" w:rsidP="004C2770">
            <w:pPr>
              <w:spacing w:line="259" w:lineRule="auto"/>
              <w:ind w:firstLine="0"/>
              <w:contextualSpacing w:val="0"/>
              <w:jc w:val="left"/>
              <w:rPr>
                <w:lang w:val="en-IL"/>
              </w:rPr>
            </w:pPr>
            <w:r>
              <w:rPr>
                <w:lang w:val="en-IL"/>
              </w:rPr>
              <w:t>0</w:t>
            </w:r>
          </w:p>
        </w:tc>
        <w:tc>
          <w:tcPr>
            <w:tcW w:w="1541" w:type="dxa"/>
            <w:shd w:val="clear" w:color="auto" w:fill="auto"/>
            <w:vAlign w:val="bottom"/>
          </w:tcPr>
          <w:p w14:paraId="085B9D0A" w14:textId="2FF41D36" w:rsidR="004A470B" w:rsidRPr="009A65A3" w:rsidRDefault="004A470B" w:rsidP="004C2770">
            <w:pPr>
              <w:spacing w:line="259" w:lineRule="auto"/>
              <w:ind w:firstLine="0"/>
              <w:contextualSpacing w:val="0"/>
              <w:jc w:val="left"/>
              <w:rPr>
                <w:lang w:val="en-IL"/>
              </w:rPr>
            </w:pPr>
            <w:r w:rsidRPr="009A65A3">
              <w:rPr>
                <w:lang w:val="en-IL"/>
              </w:rPr>
              <w:t>2</w:t>
            </w:r>
          </w:p>
        </w:tc>
        <w:tc>
          <w:tcPr>
            <w:tcW w:w="1541" w:type="dxa"/>
            <w:shd w:val="clear" w:color="auto" w:fill="auto"/>
            <w:vAlign w:val="bottom"/>
          </w:tcPr>
          <w:p w14:paraId="3DA44314" w14:textId="4311610E" w:rsidR="004A470B" w:rsidRPr="009A65A3" w:rsidRDefault="004A470B" w:rsidP="004C2770">
            <w:pPr>
              <w:spacing w:line="259" w:lineRule="auto"/>
              <w:ind w:firstLine="0"/>
              <w:contextualSpacing w:val="0"/>
              <w:jc w:val="left"/>
              <w:rPr>
                <w:lang w:val="en-IL"/>
              </w:rPr>
            </w:pPr>
            <w:r w:rsidRPr="009A65A3">
              <w:rPr>
                <w:lang w:val="en-IL"/>
              </w:rPr>
              <w:t>6</w:t>
            </w:r>
          </w:p>
        </w:tc>
        <w:tc>
          <w:tcPr>
            <w:tcW w:w="1541" w:type="dxa"/>
            <w:shd w:val="clear" w:color="auto" w:fill="auto"/>
            <w:vAlign w:val="bottom"/>
          </w:tcPr>
          <w:p w14:paraId="61AE23D1" w14:textId="0CC53805" w:rsidR="004A470B" w:rsidRPr="009A65A3" w:rsidRDefault="004A470B" w:rsidP="004C2770">
            <w:pPr>
              <w:spacing w:line="259" w:lineRule="auto"/>
              <w:ind w:firstLine="0"/>
              <w:contextualSpacing w:val="0"/>
              <w:jc w:val="left"/>
              <w:rPr>
                <w:lang w:val="en-IL"/>
              </w:rPr>
            </w:pPr>
            <w:r w:rsidRPr="009A65A3">
              <w:rPr>
                <w:lang w:val="en-IL"/>
              </w:rPr>
              <w:t>12</w:t>
            </w:r>
          </w:p>
        </w:tc>
        <w:tc>
          <w:tcPr>
            <w:tcW w:w="1702" w:type="dxa"/>
            <w:shd w:val="clear" w:color="auto" w:fill="auto"/>
            <w:vAlign w:val="bottom"/>
          </w:tcPr>
          <w:p w14:paraId="70A0E2B0" w14:textId="5990D325" w:rsidR="004A470B" w:rsidRPr="009A65A3" w:rsidRDefault="004A470B" w:rsidP="004C2770">
            <w:pPr>
              <w:spacing w:line="259" w:lineRule="auto"/>
              <w:ind w:firstLine="0"/>
              <w:contextualSpacing w:val="0"/>
              <w:jc w:val="left"/>
              <w:rPr>
                <w:lang w:val="en-IL"/>
              </w:rPr>
            </w:pPr>
            <w:r w:rsidRPr="009A65A3">
              <w:rPr>
                <w:lang w:val="en-IL"/>
              </w:rPr>
              <w:t>46</w:t>
            </w:r>
          </w:p>
        </w:tc>
      </w:tr>
      <w:tr w:rsidR="004A470B" w14:paraId="71C5A2E1" w14:textId="77777777" w:rsidTr="00EC3B05">
        <w:tc>
          <w:tcPr>
            <w:tcW w:w="1134" w:type="dxa"/>
            <w:tcBorders>
              <w:right w:val="single" w:sz="4" w:space="0" w:color="auto"/>
            </w:tcBorders>
            <w:shd w:val="clear" w:color="auto" w:fill="auto"/>
          </w:tcPr>
          <w:p w14:paraId="4807B73F" w14:textId="77777777" w:rsidR="004A470B" w:rsidRPr="004F673A" w:rsidRDefault="004A470B" w:rsidP="004C2770">
            <w:pPr>
              <w:spacing w:line="259" w:lineRule="auto"/>
              <w:ind w:firstLine="0"/>
              <w:contextualSpacing w:val="0"/>
              <w:jc w:val="left"/>
              <w:rPr>
                <w:color w:val="000000"/>
                <w:lang w:val="en-IL"/>
              </w:rPr>
            </w:pPr>
          </w:p>
        </w:tc>
        <w:tc>
          <w:tcPr>
            <w:tcW w:w="2195" w:type="dxa"/>
            <w:shd w:val="clear" w:color="auto" w:fill="auto"/>
            <w:vAlign w:val="bottom"/>
          </w:tcPr>
          <w:p w14:paraId="6B0DD5FC" w14:textId="77777777" w:rsidR="004A470B" w:rsidRPr="004F673A" w:rsidRDefault="004A470B" w:rsidP="004C2770">
            <w:pPr>
              <w:spacing w:line="259" w:lineRule="auto"/>
              <w:ind w:firstLine="0"/>
              <w:contextualSpacing w:val="0"/>
              <w:jc w:val="left"/>
              <w:rPr>
                <w:color w:val="000000"/>
                <w:lang w:val="en-IL"/>
              </w:rPr>
            </w:pPr>
          </w:p>
        </w:tc>
        <w:tc>
          <w:tcPr>
            <w:tcW w:w="1793" w:type="dxa"/>
            <w:tcBorders>
              <w:left w:val="nil"/>
            </w:tcBorders>
            <w:shd w:val="clear" w:color="auto" w:fill="auto"/>
            <w:vAlign w:val="bottom"/>
          </w:tcPr>
          <w:p w14:paraId="0CD7062F" w14:textId="77777777" w:rsidR="004A470B" w:rsidRPr="004F673A" w:rsidRDefault="004A470B" w:rsidP="004C2770">
            <w:pPr>
              <w:spacing w:line="259" w:lineRule="auto"/>
              <w:ind w:firstLine="0"/>
              <w:contextualSpacing w:val="0"/>
              <w:jc w:val="left"/>
              <w:rPr>
                <w:color w:val="000000"/>
              </w:rPr>
            </w:pPr>
          </w:p>
        </w:tc>
        <w:tc>
          <w:tcPr>
            <w:tcW w:w="1905" w:type="dxa"/>
            <w:shd w:val="clear" w:color="auto" w:fill="auto"/>
            <w:vAlign w:val="bottom"/>
          </w:tcPr>
          <w:p w14:paraId="3014E043" w14:textId="77777777" w:rsidR="004A470B" w:rsidRDefault="004A470B" w:rsidP="004C2770">
            <w:pPr>
              <w:spacing w:line="259" w:lineRule="auto"/>
              <w:ind w:firstLine="0"/>
              <w:contextualSpacing w:val="0"/>
              <w:jc w:val="left"/>
              <w:rPr>
                <w:lang w:val="en-IL"/>
              </w:rPr>
            </w:pPr>
          </w:p>
        </w:tc>
        <w:tc>
          <w:tcPr>
            <w:tcW w:w="1541" w:type="dxa"/>
            <w:shd w:val="clear" w:color="auto" w:fill="auto"/>
            <w:vAlign w:val="bottom"/>
          </w:tcPr>
          <w:p w14:paraId="2BEC441B" w14:textId="77777777" w:rsidR="004A470B" w:rsidRPr="004C2770" w:rsidRDefault="004A470B" w:rsidP="004C2770">
            <w:pPr>
              <w:spacing w:line="259" w:lineRule="auto"/>
              <w:ind w:firstLine="0"/>
              <w:contextualSpacing w:val="0"/>
              <w:jc w:val="left"/>
              <w:rPr>
                <w:color w:val="000000"/>
              </w:rPr>
            </w:pPr>
          </w:p>
        </w:tc>
        <w:tc>
          <w:tcPr>
            <w:tcW w:w="1541" w:type="dxa"/>
            <w:shd w:val="clear" w:color="auto" w:fill="auto"/>
            <w:vAlign w:val="bottom"/>
          </w:tcPr>
          <w:p w14:paraId="21FD8A84" w14:textId="77777777" w:rsidR="004A470B" w:rsidRPr="004C2770" w:rsidRDefault="004A470B" w:rsidP="004C2770">
            <w:pPr>
              <w:spacing w:line="259" w:lineRule="auto"/>
              <w:ind w:firstLine="0"/>
              <w:contextualSpacing w:val="0"/>
              <w:jc w:val="left"/>
              <w:rPr>
                <w:color w:val="000000"/>
              </w:rPr>
            </w:pPr>
          </w:p>
        </w:tc>
        <w:tc>
          <w:tcPr>
            <w:tcW w:w="1541" w:type="dxa"/>
            <w:shd w:val="clear" w:color="auto" w:fill="auto"/>
            <w:vAlign w:val="bottom"/>
          </w:tcPr>
          <w:p w14:paraId="16B7A11A" w14:textId="77777777" w:rsidR="004A470B" w:rsidRPr="004C2770" w:rsidRDefault="004A470B" w:rsidP="004C2770">
            <w:pPr>
              <w:spacing w:line="259" w:lineRule="auto"/>
              <w:ind w:firstLine="0"/>
              <w:contextualSpacing w:val="0"/>
              <w:jc w:val="left"/>
              <w:rPr>
                <w:color w:val="000000"/>
              </w:rPr>
            </w:pPr>
          </w:p>
        </w:tc>
        <w:tc>
          <w:tcPr>
            <w:tcW w:w="1702" w:type="dxa"/>
            <w:shd w:val="clear" w:color="auto" w:fill="auto"/>
            <w:vAlign w:val="bottom"/>
          </w:tcPr>
          <w:p w14:paraId="1DAC304C" w14:textId="77777777" w:rsidR="004A470B" w:rsidRPr="004C2770" w:rsidRDefault="004A470B" w:rsidP="004C2770">
            <w:pPr>
              <w:spacing w:line="259" w:lineRule="auto"/>
              <w:ind w:firstLine="0"/>
              <w:contextualSpacing w:val="0"/>
              <w:jc w:val="left"/>
              <w:rPr>
                <w:color w:val="000000"/>
              </w:rPr>
            </w:pPr>
          </w:p>
        </w:tc>
      </w:tr>
      <w:tr w:rsidR="00EC3B05" w14:paraId="243A54A1" w14:textId="77777777" w:rsidTr="00EC3B05">
        <w:tc>
          <w:tcPr>
            <w:tcW w:w="1134" w:type="dxa"/>
            <w:tcBorders>
              <w:bottom w:val="single" w:sz="4" w:space="0" w:color="auto"/>
              <w:right w:val="single" w:sz="4" w:space="0" w:color="auto"/>
            </w:tcBorders>
            <w:shd w:val="clear" w:color="auto" w:fill="auto"/>
          </w:tcPr>
          <w:p w14:paraId="65282869" w14:textId="77777777" w:rsidR="00EC3B05" w:rsidRDefault="00EC3B05" w:rsidP="00EC3B05">
            <w:pPr>
              <w:spacing w:line="259" w:lineRule="auto"/>
              <w:ind w:firstLine="0"/>
              <w:contextualSpacing w:val="0"/>
              <w:jc w:val="left"/>
              <w:rPr>
                <w:b/>
                <w:bCs/>
                <w:lang w:val="en-IL"/>
              </w:rPr>
            </w:pPr>
          </w:p>
        </w:tc>
        <w:tc>
          <w:tcPr>
            <w:tcW w:w="2195" w:type="dxa"/>
            <w:tcBorders>
              <w:left w:val="single" w:sz="4" w:space="0" w:color="auto"/>
              <w:bottom w:val="single" w:sz="4" w:space="0" w:color="auto"/>
            </w:tcBorders>
            <w:shd w:val="clear" w:color="auto" w:fill="auto"/>
          </w:tcPr>
          <w:p w14:paraId="50A339B5" w14:textId="096B4363" w:rsidR="00EC3B05" w:rsidRPr="004F673A" w:rsidRDefault="00EC3B05" w:rsidP="00EC3B05">
            <w:pPr>
              <w:spacing w:line="259" w:lineRule="auto"/>
              <w:ind w:firstLine="0"/>
              <w:contextualSpacing w:val="0"/>
              <w:jc w:val="left"/>
              <w:rPr>
                <w:lang w:val="en-IL"/>
              </w:rPr>
            </w:pPr>
            <w:r w:rsidRPr="004F673A">
              <w:rPr>
                <w:b/>
                <w:bCs/>
                <w:lang w:val="en-IL"/>
              </w:rPr>
              <w:t>Questionnaire</w:t>
            </w:r>
          </w:p>
        </w:tc>
        <w:tc>
          <w:tcPr>
            <w:tcW w:w="1793" w:type="dxa"/>
            <w:tcBorders>
              <w:left w:val="nil"/>
              <w:bottom w:val="single" w:sz="4" w:space="0" w:color="auto"/>
            </w:tcBorders>
            <w:shd w:val="clear" w:color="auto" w:fill="auto"/>
          </w:tcPr>
          <w:p w14:paraId="20E9AE5F" w14:textId="7304E037" w:rsidR="00EC3B05" w:rsidRPr="009A65A3" w:rsidRDefault="00EC3B05" w:rsidP="00EC3B05">
            <w:pPr>
              <w:spacing w:line="259" w:lineRule="auto"/>
              <w:ind w:firstLine="0"/>
              <w:contextualSpacing w:val="0"/>
              <w:jc w:val="left"/>
              <w:rPr>
                <w:lang w:val="en-IL"/>
              </w:rPr>
            </w:pPr>
            <w:r w:rsidRPr="004F673A">
              <w:rPr>
                <w:b/>
                <w:bCs/>
                <w:lang w:val="en-IL"/>
              </w:rPr>
              <w:t>Mean (SD)</w:t>
            </w:r>
          </w:p>
        </w:tc>
        <w:tc>
          <w:tcPr>
            <w:tcW w:w="1905" w:type="dxa"/>
            <w:tcBorders>
              <w:bottom w:val="single" w:sz="4" w:space="0" w:color="auto"/>
            </w:tcBorders>
            <w:shd w:val="clear" w:color="auto" w:fill="auto"/>
          </w:tcPr>
          <w:p w14:paraId="3FD32F47" w14:textId="1D1A811D" w:rsidR="00EC3B05" w:rsidRDefault="00EC3B05" w:rsidP="00EC3B05">
            <w:pPr>
              <w:spacing w:line="259" w:lineRule="auto"/>
              <w:ind w:firstLine="0"/>
              <w:contextualSpacing w:val="0"/>
              <w:jc w:val="left"/>
              <w:rPr>
                <w:lang w:val="en-IL"/>
              </w:rPr>
            </w:pPr>
            <w:r w:rsidRPr="004F673A">
              <w:rPr>
                <w:b/>
                <w:bCs/>
                <w:lang w:val="en-IL"/>
              </w:rPr>
              <w:t>Minimum</w:t>
            </w:r>
          </w:p>
        </w:tc>
        <w:tc>
          <w:tcPr>
            <w:tcW w:w="1541" w:type="dxa"/>
            <w:tcBorders>
              <w:bottom w:val="single" w:sz="4" w:space="0" w:color="auto"/>
            </w:tcBorders>
            <w:shd w:val="clear" w:color="auto" w:fill="auto"/>
          </w:tcPr>
          <w:p w14:paraId="23C99C8C" w14:textId="1CD7F500" w:rsidR="00EC3B05" w:rsidRPr="009A65A3" w:rsidRDefault="00EC3B05" w:rsidP="00EC3B05">
            <w:pPr>
              <w:spacing w:line="259" w:lineRule="auto"/>
              <w:ind w:firstLine="0"/>
              <w:contextualSpacing w:val="0"/>
              <w:jc w:val="left"/>
              <w:rPr>
                <w:lang w:val="en-IL"/>
              </w:rPr>
            </w:pPr>
            <w:r w:rsidRPr="004F673A">
              <w:rPr>
                <w:b/>
                <w:bCs/>
                <w:lang w:val="en-IL"/>
              </w:rPr>
              <w:t>.25 Quantile</w:t>
            </w:r>
          </w:p>
        </w:tc>
        <w:tc>
          <w:tcPr>
            <w:tcW w:w="1541" w:type="dxa"/>
            <w:tcBorders>
              <w:bottom w:val="single" w:sz="4" w:space="0" w:color="auto"/>
            </w:tcBorders>
            <w:shd w:val="clear" w:color="auto" w:fill="auto"/>
          </w:tcPr>
          <w:p w14:paraId="088773F7" w14:textId="23DED512" w:rsidR="00EC3B05" w:rsidRPr="009A65A3" w:rsidRDefault="00EC3B05" w:rsidP="00EC3B05">
            <w:pPr>
              <w:spacing w:line="259" w:lineRule="auto"/>
              <w:ind w:firstLine="0"/>
              <w:contextualSpacing w:val="0"/>
              <w:jc w:val="left"/>
              <w:rPr>
                <w:lang w:val="en-IL"/>
              </w:rPr>
            </w:pPr>
            <w:r w:rsidRPr="004F673A">
              <w:rPr>
                <w:b/>
                <w:bCs/>
                <w:lang w:val="en-IL"/>
              </w:rPr>
              <w:t>.50 Quantile</w:t>
            </w:r>
          </w:p>
        </w:tc>
        <w:tc>
          <w:tcPr>
            <w:tcW w:w="1541" w:type="dxa"/>
            <w:tcBorders>
              <w:bottom w:val="single" w:sz="4" w:space="0" w:color="auto"/>
            </w:tcBorders>
            <w:shd w:val="clear" w:color="auto" w:fill="auto"/>
          </w:tcPr>
          <w:p w14:paraId="4F787AAF" w14:textId="36A0E5BC" w:rsidR="00EC3B05" w:rsidRPr="009A65A3" w:rsidRDefault="00EC3B05" w:rsidP="00EC3B05">
            <w:pPr>
              <w:spacing w:line="259" w:lineRule="auto"/>
              <w:ind w:firstLine="0"/>
              <w:contextualSpacing w:val="0"/>
              <w:jc w:val="left"/>
              <w:rPr>
                <w:lang w:val="en-IL"/>
              </w:rPr>
            </w:pPr>
            <w:r w:rsidRPr="004F673A">
              <w:rPr>
                <w:b/>
                <w:bCs/>
                <w:lang w:val="en-IL"/>
              </w:rPr>
              <w:t>.75 Quantile</w:t>
            </w:r>
          </w:p>
        </w:tc>
        <w:tc>
          <w:tcPr>
            <w:tcW w:w="1702" w:type="dxa"/>
            <w:tcBorders>
              <w:bottom w:val="single" w:sz="4" w:space="0" w:color="auto"/>
            </w:tcBorders>
            <w:shd w:val="clear" w:color="auto" w:fill="auto"/>
          </w:tcPr>
          <w:p w14:paraId="5C076F01" w14:textId="559A411A" w:rsidR="00EC3B05" w:rsidRPr="009A65A3" w:rsidRDefault="00EC3B05" w:rsidP="00EC3B05">
            <w:pPr>
              <w:spacing w:line="259" w:lineRule="auto"/>
              <w:ind w:firstLine="0"/>
              <w:contextualSpacing w:val="0"/>
              <w:jc w:val="left"/>
              <w:rPr>
                <w:lang w:val="en-IL"/>
              </w:rPr>
            </w:pPr>
            <w:r w:rsidRPr="004F673A">
              <w:rPr>
                <w:b/>
                <w:bCs/>
                <w:lang w:val="en-IL"/>
              </w:rPr>
              <w:t>Maximum</w:t>
            </w:r>
          </w:p>
        </w:tc>
      </w:tr>
      <w:tr w:rsidR="009D6764" w14:paraId="1B442A5D" w14:textId="77777777" w:rsidTr="00EC3B05">
        <w:tc>
          <w:tcPr>
            <w:tcW w:w="1134" w:type="dxa"/>
            <w:tcBorders>
              <w:top w:val="single" w:sz="4" w:space="0" w:color="auto"/>
              <w:right w:val="single" w:sz="4" w:space="0" w:color="auto"/>
            </w:tcBorders>
            <w:shd w:val="clear" w:color="auto" w:fill="auto"/>
          </w:tcPr>
          <w:p w14:paraId="09425828" w14:textId="08EC9C53" w:rsidR="009D6764" w:rsidRPr="004F673A" w:rsidRDefault="009D6764" w:rsidP="009D6764">
            <w:pPr>
              <w:spacing w:line="259" w:lineRule="auto"/>
              <w:ind w:firstLine="0"/>
              <w:contextualSpacing w:val="0"/>
              <w:jc w:val="left"/>
              <w:rPr>
                <w:color w:val="000000"/>
                <w:lang w:val="en-IL"/>
              </w:rPr>
            </w:pPr>
            <w:r>
              <w:rPr>
                <w:b/>
                <w:bCs/>
                <w:lang w:val="en-IL"/>
              </w:rPr>
              <w:t>Study 2</w:t>
            </w:r>
          </w:p>
        </w:tc>
        <w:tc>
          <w:tcPr>
            <w:tcW w:w="2195" w:type="dxa"/>
            <w:tcBorders>
              <w:top w:val="single" w:sz="4" w:space="0" w:color="auto"/>
            </w:tcBorders>
            <w:shd w:val="clear" w:color="auto" w:fill="E7E6E6" w:themeFill="background2"/>
            <w:vAlign w:val="bottom"/>
          </w:tcPr>
          <w:p w14:paraId="513CA62F" w14:textId="3455D7A9" w:rsidR="009D6764" w:rsidRPr="009A65A3" w:rsidRDefault="009D6764" w:rsidP="009D6764">
            <w:pPr>
              <w:spacing w:line="259" w:lineRule="auto"/>
              <w:ind w:firstLine="0"/>
              <w:contextualSpacing w:val="0"/>
              <w:jc w:val="left"/>
              <w:rPr>
                <w:lang w:val="en-IL"/>
              </w:rPr>
            </w:pPr>
            <w:r w:rsidRPr="004F673A">
              <w:rPr>
                <w:lang w:val="en-IL"/>
              </w:rPr>
              <w:t>PTQ</w:t>
            </w:r>
          </w:p>
        </w:tc>
        <w:tc>
          <w:tcPr>
            <w:tcW w:w="1793" w:type="dxa"/>
            <w:tcBorders>
              <w:top w:val="single" w:sz="4" w:space="0" w:color="auto"/>
              <w:left w:val="nil"/>
            </w:tcBorders>
            <w:shd w:val="clear" w:color="auto" w:fill="E7E6E6" w:themeFill="background2"/>
            <w:vAlign w:val="bottom"/>
          </w:tcPr>
          <w:p w14:paraId="1EC046FF" w14:textId="5C3E6F2A" w:rsidR="009D6764" w:rsidRPr="009D6764" w:rsidRDefault="009D6764" w:rsidP="009D6764">
            <w:pPr>
              <w:spacing w:line="259" w:lineRule="auto"/>
              <w:ind w:firstLine="0"/>
              <w:contextualSpacing w:val="0"/>
              <w:jc w:val="left"/>
              <w:rPr>
                <w:lang w:val="en-IL"/>
              </w:rPr>
            </w:pPr>
            <w:r w:rsidRPr="009D6764">
              <w:rPr>
                <w:color w:val="000000"/>
              </w:rPr>
              <w:t>20.</w:t>
            </w:r>
            <w:r>
              <w:rPr>
                <w:color w:val="000000"/>
                <w:lang w:val="en-IL"/>
              </w:rPr>
              <w:t>86</w:t>
            </w:r>
            <w:r w:rsidR="002768B6">
              <w:rPr>
                <w:color w:val="000000"/>
                <w:lang w:val="en-IL"/>
              </w:rPr>
              <w:t xml:space="preserve"> (13.63)</w:t>
            </w:r>
          </w:p>
        </w:tc>
        <w:tc>
          <w:tcPr>
            <w:tcW w:w="1905" w:type="dxa"/>
            <w:tcBorders>
              <w:top w:val="single" w:sz="4" w:space="0" w:color="auto"/>
            </w:tcBorders>
            <w:shd w:val="clear" w:color="auto" w:fill="E7E6E6" w:themeFill="background2"/>
            <w:vAlign w:val="bottom"/>
          </w:tcPr>
          <w:p w14:paraId="51706A05" w14:textId="21812271" w:rsidR="009D6764" w:rsidRPr="009D6764" w:rsidRDefault="009D6764" w:rsidP="009D6764">
            <w:pPr>
              <w:spacing w:line="259" w:lineRule="auto"/>
              <w:ind w:firstLine="0"/>
              <w:contextualSpacing w:val="0"/>
              <w:jc w:val="left"/>
              <w:rPr>
                <w:lang w:val="en-IL"/>
              </w:rPr>
            </w:pPr>
            <w:r w:rsidRPr="009D6764">
              <w:rPr>
                <w:color w:val="000000"/>
              </w:rPr>
              <w:t>0</w:t>
            </w:r>
          </w:p>
        </w:tc>
        <w:tc>
          <w:tcPr>
            <w:tcW w:w="1541" w:type="dxa"/>
            <w:tcBorders>
              <w:top w:val="single" w:sz="4" w:space="0" w:color="auto"/>
            </w:tcBorders>
            <w:shd w:val="clear" w:color="auto" w:fill="E7E6E6" w:themeFill="background2"/>
            <w:vAlign w:val="bottom"/>
          </w:tcPr>
          <w:p w14:paraId="60A0234C" w14:textId="7213006C" w:rsidR="009D6764" w:rsidRPr="009D6764" w:rsidRDefault="009D6764" w:rsidP="009D6764">
            <w:pPr>
              <w:spacing w:line="259" w:lineRule="auto"/>
              <w:ind w:firstLine="0"/>
              <w:contextualSpacing w:val="0"/>
              <w:jc w:val="left"/>
              <w:rPr>
                <w:lang w:val="en-IL"/>
              </w:rPr>
            </w:pPr>
            <w:r w:rsidRPr="009D6764">
              <w:rPr>
                <w:color w:val="000000"/>
              </w:rPr>
              <w:t>10</w:t>
            </w:r>
          </w:p>
        </w:tc>
        <w:tc>
          <w:tcPr>
            <w:tcW w:w="1541" w:type="dxa"/>
            <w:tcBorders>
              <w:top w:val="single" w:sz="4" w:space="0" w:color="auto"/>
            </w:tcBorders>
            <w:shd w:val="clear" w:color="auto" w:fill="E7E6E6" w:themeFill="background2"/>
            <w:vAlign w:val="bottom"/>
          </w:tcPr>
          <w:p w14:paraId="7A770082" w14:textId="5E0411FD" w:rsidR="009D6764" w:rsidRPr="009D6764" w:rsidRDefault="009D6764" w:rsidP="009D6764">
            <w:pPr>
              <w:spacing w:line="259" w:lineRule="auto"/>
              <w:ind w:firstLine="0"/>
              <w:contextualSpacing w:val="0"/>
              <w:jc w:val="left"/>
              <w:rPr>
                <w:lang w:val="en-IL"/>
              </w:rPr>
            </w:pPr>
            <w:r w:rsidRPr="009D6764">
              <w:rPr>
                <w:color w:val="000000"/>
              </w:rPr>
              <w:t>19</w:t>
            </w:r>
          </w:p>
        </w:tc>
        <w:tc>
          <w:tcPr>
            <w:tcW w:w="1541" w:type="dxa"/>
            <w:tcBorders>
              <w:top w:val="single" w:sz="4" w:space="0" w:color="auto"/>
            </w:tcBorders>
            <w:shd w:val="clear" w:color="auto" w:fill="E7E6E6" w:themeFill="background2"/>
            <w:vAlign w:val="bottom"/>
          </w:tcPr>
          <w:p w14:paraId="425B7CA1" w14:textId="5D330055" w:rsidR="009D6764" w:rsidRPr="009D6764" w:rsidRDefault="009D6764" w:rsidP="009D6764">
            <w:pPr>
              <w:spacing w:line="259" w:lineRule="auto"/>
              <w:ind w:firstLine="0"/>
              <w:contextualSpacing w:val="0"/>
              <w:jc w:val="left"/>
              <w:rPr>
                <w:lang w:val="en-IL"/>
              </w:rPr>
            </w:pPr>
            <w:r w:rsidRPr="009D6764">
              <w:rPr>
                <w:color w:val="000000"/>
              </w:rPr>
              <w:t>29</w:t>
            </w:r>
          </w:p>
        </w:tc>
        <w:tc>
          <w:tcPr>
            <w:tcW w:w="1702" w:type="dxa"/>
            <w:tcBorders>
              <w:top w:val="single" w:sz="4" w:space="0" w:color="auto"/>
            </w:tcBorders>
            <w:shd w:val="clear" w:color="auto" w:fill="E7E6E6" w:themeFill="background2"/>
            <w:vAlign w:val="bottom"/>
          </w:tcPr>
          <w:p w14:paraId="4AC8FAA3" w14:textId="08A0AC87" w:rsidR="009D6764" w:rsidRPr="009D6764" w:rsidRDefault="009D6764" w:rsidP="009D6764">
            <w:pPr>
              <w:spacing w:line="259" w:lineRule="auto"/>
              <w:ind w:firstLine="0"/>
              <w:contextualSpacing w:val="0"/>
              <w:jc w:val="left"/>
              <w:rPr>
                <w:lang w:val="en-IL"/>
              </w:rPr>
            </w:pPr>
            <w:r w:rsidRPr="009D6764">
              <w:rPr>
                <w:color w:val="000000"/>
              </w:rPr>
              <w:t>57</w:t>
            </w:r>
          </w:p>
        </w:tc>
      </w:tr>
      <w:tr w:rsidR="009D6764" w14:paraId="60EBFCFC" w14:textId="77777777" w:rsidTr="004A470B">
        <w:tc>
          <w:tcPr>
            <w:tcW w:w="1134" w:type="dxa"/>
            <w:tcBorders>
              <w:right w:val="single" w:sz="4" w:space="0" w:color="auto"/>
            </w:tcBorders>
            <w:shd w:val="clear" w:color="auto" w:fill="auto"/>
          </w:tcPr>
          <w:p w14:paraId="0D14A53E" w14:textId="37A4F29E" w:rsidR="009D6764" w:rsidRPr="004F673A" w:rsidRDefault="006A7B2C" w:rsidP="009D6764">
            <w:pPr>
              <w:spacing w:line="259" w:lineRule="auto"/>
              <w:ind w:firstLine="0"/>
              <w:contextualSpacing w:val="0"/>
              <w:jc w:val="left"/>
              <w:rPr>
                <w:color w:val="000000"/>
                <w:lang w:val="en-IL"/>
              </w:rPr>
            </w:pPr>
            <w:r>
              <w:rPr>
                <w:color w:val="000000"/>
                <w:lang w:val="en-IL"/>
              </w:rPr>
              <w:t>(N = 74)</w:t>
            </w:r>
          </w:p>
        </w:tc>
        <w:tc>
          <w:tcPr>
            <w:tcW w:w="2195" w:type="dxa"/>
            <w:shd w:val="clear" w:color="auto" w:fill="auto"/>
            <w:vAlign w:val="bottom"/>
          </w:tcPr>
          <w:p w14:paraId="6C13EC4D" w14:textId="0C41F363" w:rsidR="009D6764" w:rsidRPr="009A65A3" w:rsidRDefault="009D6764" w:rsidP="009D6764">
            <w:pPr>
              <w:spacing w:line="259" w:lineRule="auto"/>
              <w:ind w:firstLine="0"/>
              <w:contextualSpacing w:val="0"/>
              <w:jc w:val="left"/>
              <w:rPr>
                <w:lang w:val="en-IL"/>
              </w:rPr>
            </w:pPr>
            <w:r w:rsidRPr="009A65A3">
              <w:rPr>
                <w:lang w:val="en-IL"/>
              </w:rPr>
              <w:t>Brooding (RRS)</w:t>
            </w:r>
          </w:p>
        </w:tc>
        <w:tc>
          <w:tcPr>
            <w:tcW w:w="1793" w:type="dxa"/>
            <w:tcBorders>
              <w:left w:val="nil"/>
            </w:tcBorders>
            <w:shd w:val="clear" w:color="auto" w:fill="auto"/>
            <w:vAlign w:val="bottom"/>
          </w:tcPr>
          <w:p w14:paraId="535D2954" w14:textId="5C8D4EAD" w:rsidR="009D6764" w:rsidRPr="009D6764" w:rsidRDefault="009D6764" w:rsidP="009D6764">
            <w:pPr>
              <w:spacing w:line="259" w:lineRule="auto"/>
              <w:ind w:firstLine="0"/>
              <w:contextualSpacing w:val="0"/>
              <w:jc w:val="left"/>
              <w:rPr>
                <w:lang w:val="en-IL"/>
              </w:rPr>
            </w:pPr>
            <w:r w:rsidRPr="009D6764">
              <w:rPr>
                <w:color w:val="000000"/>
              </w:rPr>
              <w:t>9.</w:t>
            </w:r>
            <w:r>
              <w:rPr>
                <w:color w:val="000000"/>
                <w:lang w:val="en-IL"/>
              </w:rPr>
              <w:t>04</w:t>
            </w:r>
            <w:r w:rsidR="002768B6">
              <w:rPr>
                <w:color w:val="000000"/>
                <w:lang w:val="en-IL"/>
              </w:rPr>
              <w:t xml:space="preserve"> (3.08)</w:t>
            </w:r>
          </w:p>
        </w:tc>
        <w:tc>
          <w:tcPr>
            <w:tcW w:w="1905" w:type="dxa"/>
            <w:shd w:val="clear" w:color="auto" w:fill="auto"/>
            <w:vAlign w:val="bottom"/>
          </w:tcPr>
          <w:p w14:paraId="38074FF6" w14:textId="17075CE2" w:rsidR="009D6764" w:rsidRPr="009D6764" w:rsidRDefault="009D6764" w:rsidP="009D6764">
            <w:pPr>
              <w:spacing w:line="259" w:lineRule="auto"/>
              <w:ind w:firstLine="0"/>
              <w:contextualSpacing w:val="0"/>
              <w:jc w:val="left"/>
              <w:rPr>
                <w:lang w:val="en-IL"/>
              </w:rPr>
            </w:pPr>
            <w:r w:rsidRPr="009D6764">
              <w:rPr>
                <w:color w:val="000000"/>
              </w:rPr>
              <w:t>5</w:t>
            </w:r>
          </w:p>
        </w:tc>
        <w:tc>
          <w:tcPr>
            <w:tcW w:w="1541" w:type="dxa"/>
            <w:shd w:val="clear" w:color="auto" w:fill="auto"/>
            <w:vAlign w:val="bottom"/>
          </w:tcPr>
          <w:p w14:paraId="0B935F0C" w14:textId="10831987" w:rsidR="009D6764" w:rsidRPr="009D6764" w:rsidRDefault="009D6764" w:rsidP="009D6764">
            <w:pPr>
              <w:spacing w:line="259" w:lineRule="auto"/>
              <w:ind w:firstLine="0"/>
              <w:contextualSpacing w:val="0"/>
              <w:jc w:val="left"/>
              <w:rPr>
                <w:lang w:val="en-IL"/>
              </w:rPr>
            </w:pPr>
            <w:r w:rsidRPr="009D6764">
              <w:rPr>
                <w:color w:val="000000"/>
              </w:rPr>
              <w:t>7</w:t>
            </w:r>
          </w:p>
        </w:tc>
        <w:tc>
          <w:tcPr>
            <w:tcW w:w="1541" w:type="dxa"/>
            <w:shd w:val="clear" w:color="auto" w:fill="auto"/>
            <w:vAlign w:val="bottom"/>
          </w:tcPr>
          <w:p w14:paraId="2FB1F832" w14:textId="10771834" w:rsidR="009D6764" w:rsidRPr="009D6764" w:rsidRDefault="009D6764" w:rsidP="009D6764">
            <w:pPr>
              <w:spacing w:line="259" w:lineRule="auto"/>
              <w:ind w:firstLine="0"/>
              <w:contextualSpacing w:val="0"/>
              <w:jc w:val="left"/>
              <w:rPr>
                <w:lang w:val="en-IL"/>
              </w:rPr>
            </w:pPr>
            <w:r w:rsidRPr="009D6764">
              <w:rPr>
                <w:color w:val="000000"/>
              </w:rPr>
              <w:t>8</w:t>
            </w:r>
          </w:p>
        </w:tc>
        <w:tc>
          <w:tcPr>
            <w:tcW w:w="1541" w:type="dxa"/>
            <w:shd w:val="clear" w:color="auto" w:fill="auto"/>
            <w:vAlign w:val="bottom"/>
          </w:tcPr>
          <w:p w14:paraId="598B6FC7" w14:textId="43E8334B" w:rsidR="009D6764" w:rsidRPr="009D6764" w:rsidRDefault="009D6764" w:rsidP="009D6764">
            <w:pPr>
              <w:spacing w:line="259" w:lineRule="auto"/>
              <w:ind w:firstLine="0"/>
              <w:contextualSpacing w:val="0"/>
              <w:jc w:val="left"/>
              <w:rPr>
                <w:lang w:val="en-IL"/>
              </w:rPr>
            </w:pPr>
            <w:r w:rsidRPr="009D6764">
              <w:rPr>
                <w:color w:val="000000"/>
              </w:rPr>
              <w:t>11</w:t>
            </w:r>
          </w:p>
        </w:tc>
        <w:tc>
          <w:tcPr>
            <w:tcW w:w="1702" w:type="dxa"/>
            <w:shd w:val="clear" w:color="auto" w:fill="auto"/>
            <w:vAlign w:val="bottom"/>
          </w:tcPr>
          <w:p w14:paraId="554C086C" w14:textId="3E04AB20" w:rsidR="009D6764" w:rsidRPr="009D6764" w:rsidRDefault="009D6764" w:rsidP="009D6764">
            <w:pPr>
              <w:spacing w:line="259" w:lineRule="auto"/>
              <w:ind w:firstLine="0"/>
              <w:contextualSpacing w:val="0"/>
              <w:jc w:val="left"/>
              <w:rPr>
                <w:lang w:val="en-IL"/>
              </w:rPr>
            </w:pPr>
            <w:r w:rsidRPr="009D6764">
              <w:rPr>
                <w:color w:val="000000"/>
              </w:rPr>
              <w:t>18</w:t>
            </w:r>
          </w:p>
        </w:tc>
      </w:tr>
      <w:tr w:rsidR="009D6764" w14:paraId="4828B6EB" w14:textId="77777777" w:rsidTr="009A65A3">
        <w:tc>
          <w:tcPr>
            <w:tcW w:w="1134" w:type="dxa"/>
            <w:tcBorders>
              <w:right w:val="single" w:sz="4" w:space="0" w:color="auto"/>
            </w:tcBorders>
            <w:shd w:val="clear" w:color="auto" w:fill="auto"/>
          </w:tcPr>
          <w:p w14:paraId="467DCAD7" w14:textId="77777777" w:rsidR="009D6764" w:rsidRPr="004F673A" w:rsidRDefault="009D6764" w:rsidP="009D6764">
            <w:pPr>
              <w:spacing w:line="259" w:lineRule="auto"/>
              <w:ind w:firstLine="0"/>
              <w:contextualSpacing w:val="0"/>
              <w:jc w:val="left"/>
              <w:rPr>
                <w:color w:val="000000"/>
                <w:lang w:val="en-IL"/>
              </w:rPr>
            </w:pPr>
          </w:p>
        </w:tc>
        <w:tc>
          <w:tcPr>
            <w:tcW w:w="2195" w:type="dxa"/>
            <w:shd w:val="clear" w:color="auto" w:fill="E7E6E6" w:themeFill="background2"/>
            <w:vAlign w:val="bottom"/>
          </w:tcPr>
          <w:p w14:paraId="62DB790A" w14:textId="7FA51B2F" w:rsidR="009D6764" w:rsidRPr="009A65A3" w:rsidRDefault="009D6764" w:rsidP="009D6764">
            <w:pPr>
              <w:spacing w:line="259" w:lineRule="auto"/>
              <w:ind w:firstLine="0"/>
              <w:contextualSpacing w:val="0"/>
              <w:jc w:val="left"/>
              <w:rPr>
                <w:lang w:val="en-IL"/>
              </w:rPr>
            </w:pPr>
            <w:r w:rsidRPr="009A65A3">
              <w:rPr>
                <w:lang w:val="en-IL"/>
              </w:rPr>
              <w:t>PSWQ</w:t>
            </w:r>
          </w:p>
        </w:tc>
        <w:tc>
          <w:tcPr>
            <w:tcW w:w="1793" w:type="dxa"/>
            <w:tcBorders>
              <w:left w:val="nil"/>
            </w:tcBorders>
            <w:shd w:val="clear" w:color="auto" w:fill="E7E6E6" w:themeFill="background2"/>
            <w:vAlign w:val="bottom"/>
          </w:tcPr>
          <w:p w14:paraId="18BF53CB" w14:textId="5F18BE92" w:rsidR="009D6764" w:rsidRPr="009D6764" w:rsidRDefault="009D6764" w:rsidP="009D6764">
            <w:pPr>
              <w:spacing w:line="259" w:lineRule="auto"/>
              <w:ind w:firstLine="0"/>
              <w:contextualSpacing w:val="0"/>
              <w:jc w:val="left"/>
              <w:rPr>
                <w:lang w:val="en-IL"/>
              </w:rPr>
            </w:pPr>
            <w:r w:rsidRPr="009D6764">
              <w:rPr>
                <w:color w:val="000000"/>
              </w:rPr>
              <w:t>51.</w:t>
            </w:r>
            <w:r>
              <w:rPr>
                <w:color w:val="000000"/>
                <w:lang w:val="en-IL"/>
              </w:rPr>
              <w:t>40</w:t>
            </w:r>
            <w:r w:rsidR="002768B6">
              <w:rPr>
                <w:color w:val="000000"/>
                <w:lang w:val="en-IL"/>
              </w:rPr>
              <w:t xml:space="preserve"> (14.22)</w:t>
            </w:r>
          </w:p>
        </w:tc>
        <w:tc>
          <w:tcPr>
            <w:tcW w:w="1905" w:type="dxa"/>
            <w:shd w:val="clear" w:color="auto" w:fill="E7E6E6" w:themeFill="background2"/>
            <w:vAlign w:val="bottom"/>
          </w:tcPr>
          <w:p w14:paraId="7EFE6071" w14:textId="5425AD29" w:rsidR="009D6764" w:rsidRPr="009D6764" w:rsidRDefault="009D6764" w:rsidP="009D6764">
            <w:pPr>
              <w:spacing w:line="259" w:lineRule="auto"/>
              <w:ind w:firstLine="0"/>
              <w:contextualSpacing w:val="0"/>
              <w:jc w:val="left"/>
              <w:rPr>
                <w:lang w:val="en-IL"/>
              </w:rPr>
            </w:pPr>
            <w:r w:rsidRPr="009D6764">
              <w:rPr>
                <w:color w:val="000000"/>
              </w:rPr>
              <w:t>20</w:t>
            </w:r>
          </w:p>
        </w:tc>
        <w:tc>
          <w:tcPr>
            <w:tcW w:w="1541" w:type="dxa"/>
            <w:shd w:val="clear" w:color="auto" w:fill="E7E6E6" w:themeFill="background2"/>
            <w:vAlign w:val="bottom"/>
          </w:tcPr>
          <w:p w14:paraId="7FC6DD1C" w14:textId="4470E31F" w:rsidR="009D6764" w:rsidRPr="009D6764" w:rsidRDefault="009D6764" w:rsidP="009D6764">
            <w:pPr>
              <w:spacing w:line="259" w:lineRule="auto"/>
              <w:ind w:firstLine="0"/>
              <w:contextualSpacing w:val="0"/>
              <w:jc w:val="left"/>
              <w:rPr>
                <w:lang w:val="en-IL"/>
              </w:rPr>
            </w:pPr>
            <w:r w:rsidRPr="009D6764">
              <w:rPr>
                <w:color w:val="000000"/>
              </w:rPr>
              <w:t>41</w:t>
            </w:r>
          </w:p>
        </w:tc>
        <w:tc>
          <w:tcPr>
            <w:tcW w:w="1541" w:type="dxa"/>
            <w:shd w:val="clear" w:color="auto" w:fill="E7E6E6" w:themeFill="background2"/>
            <w:vAlign w:val="bottom"/>
          </w:tcPr>
          <w:p w14:paraId="0B1D8A5D" w14:textId="39C60550" w:rsidR="009D6764" w:rsidRPr="009D6764" w:rsidRDefault="009D6764" w:rsidP="009D6764">
            <w:pPr>
              <w:spacing w:line="259" w:lineRule="auto"/>
              <w:ind w:firstLine="0"/>
              <w:contextualSpacing w:val="0"/>
              <w:jc w:val="left"/>
              <w:rPr>
                <w:lang w:val="en-IL"/>
              </w:rPr>
            </w:pPr>
            <w:r w:rsidRPr="009D6764">
              <w:rPr>
                <w:color w:val="000000"/>
              </w:rPr>
              <w:t>52</w:t>
            </w:r>
          </w:p>
        </w:tc>
        <w:tc>
          <w:tcPr>
            <w:tcW w:w="1541" w:type="dxa"/>
            <w:shd w:val="clear" w:color="auto" w:fill="E7E6E6" w:themeFill="background2"/>
            <w:vAlign w:val="bottom"/>
          </w:tcPr>
          <w:p w14:paraId="0751C9C3" w14:textId="7CC69ADC" w:rsidR="009D6764" w:rsidRPr="009D6764" w:rsidRDefault="009D6764" w:rsidP="009D6764">
            <w:pPr>
              <w:spacing w:line="259" w:lineRule="auto"/>
              <w:ind w:firstLine="0"/>
              <w:contextualSpacing w:val="0"/>
              <w:jc w:val="left"/>
              <w:rPr>
                <w:lang w:val="en-IL"/>
              </w:rPr>
            </w:pPr>
            <w:r w:rsidRPr="009D6764">
              <w:rPr>
                <w:color w:val="000000"/>
              </w:rPr>
              <w:t>63</w:t>
            </w:r>
          </w:p>
        </w:tc>
        <w:tc>
          <w:tcPr>
            <w:tcW w:w="1702" w:type="dxa"/>
            <w:shd w:val="clear" w:color="auto" w:fill="E7E6E6" w:themeFill="background2"/>
            <w:vAlign w:val="bottom"/>
          </w:tcPr>
          <w:p w14:paraId="67B5E540" w14:textId="6A2FF117" w:rsidR="009D6764" w:rsidRPr="009D6764" w:rsidRDefault="009D6764" w:rsidP="009D6764">
            <w:pPr>
              <w:spacing w:line="259" w:lineRule="auto"/>
              <w:ind w:firstLine="0"/>
              <w:contextualSpacing w:val="0"/>
              <w:jc w:val="left"/>
              <w:rPr>
                <w:lang w:val="en-IL"/>
              </w:rPr>
            </w:pPr>
            <w:r w:rsidRPr="009D6764">
              <w:rPr>
                <w:color w:val="000000"/>
              </w:rPr>
              <w:t>80</w:t>
            </w:r>
          </w:p>
        </w:tc>
      </w:tr>
      <w:tr w:rsidR="009D6764" w14:paraId="4193D876" w14:textId="77777777" w:rsidTr="004A470B">
        <w:tc>
          <w:tcPr>
            <w:tcW w:w="1134" w:type="dxa"/>
            <w:tcBorders>
              <w:right w:val="single" w:sz="4" w:space="0" w:color="auto"/>
            </w:tcBorders>
            <w:shd w:val="clear" w:color="auto" w:fill="auto"/>
          </w:tcPr>
          <w:p w14:paraId="2225EDD0" w14:textId="77777777" w:rsidR="009D6764" w:rsidRPr="004F673A" w:rsidRDefault="009D6764" w:rsidP="009D6764">
            <w:pPr>
              <w:spacing w:line="259" w:lineRule="auto"/>
              <w:ind w:firstLine="0"/>
              <w:contextualSpacing w:val="0"/>
              <w:jc w:val="left"/>
              <w:rPr>
                <w:color w:val="000000"/>
                <w:lang w:val="en-IL"/>
              </w:rPr>
            </w:pPr>
          </w:p>
        </w:tc>
        <w:tc>
          <w:tcPr>
            <w:tcW w:w="2195" w:type="dxa"/>
            <w:shd w:val="clear" w:color="auto" w:fill="auto"/>
            <w:vAlign w:val="bottom"/>
          </w:tcPr>
          <w:p w14:paraId="242116C3" w14:textId="219849DB" w:rsidR="009D6764" w:rsidRPr="009A65A3" w:rsidRDefault="009D6764" w:rsidP="009D6764">
            <w:pPr>
              <w:spacing w:line="259" w:lineRule="auto"/>
              <w:ind w:firstLine="0"/>
              <w:contextualSpacing w:val="0"/>
              <w:jc w:val="left"/>
              <w:rPr>
                <w:lang w:val="en-IL"/>
              </w:rPr>
            </w:pPr>
            <w:r w:rsidRPr="009A65A3">
              <w:rPr>
                <w:lang w:val="en-IL"/>
              </w:rPr>
              <w:t>CFQ</w:t>
            </w:r>
          </w:p>
        </w:tc>
        <w:tc>
          <w:tcPr>
            <w:tcW w:w="1793" w:type="dxa"/>
            <w:tcBorders>
              <w:left w:val="nil"/>
            </w:tcBorders>
            <w:shd w:val="clear" w:color="auto" w:fill="auto"/>
            <w:vAlign w:val="bottom"/>
          </w:tcPr>
          <w:p w14:paraId="2472F448" w14:textId="5291323F" w:rsidR="009D6764" w:rsidRPr="009D6764" w:rsidRDefault="009D6764" w:rsidP="009D6764">
            <w:pPr>
              <w:spacing w:line="259" w:lineRule="auto"/>
              <w:ind w:firstLine="0"/>
              <w:contextualSpacing w:val="0"/>
              <w:jc w:val="left"/>
              <w:rPr>
                <w:lang w:val="en-IL"/>
              </w:rPr>
            </w:pPr>
            <w:r w:rsidRPr="009D6764">
              <w:rPr>
                <w:color w:val="000000"/>
              </w:rPr>
              <w:t>20.</w:t>
            </w:r>
            <w:r>
              <w:rPr>
                <w:color w:val="000000"/>
                <w:lang w:val="en-IL"/>
              </w:rPr>
              <w:t>40</w:t>
            </w:r>
            <w:r w:rsidR="002768B6">
              <w:rPr>
                <w:color w:val="000000"/>
                <w:lang w:val="en-IL"/>
              </w:rPr>
              <w:t xml:space="preserve"> (10.41)</w:t>
            </w:r>
          </w:p>
        </w:tc>
        <w:tc>
          <w:tcPr>
            <w:tcW w:w="1905" w:type="dxa"/>
            <w:shd w:val="clear" w:color="auto" w:fill="auto"/>
            <w:vAlign w:val="bottom"/>
          </w:tcPr>
          <w:p w14:paraId="691245E5" w14:textId="4C40F345" w:rsidR="009D6764" w:rsidRPr="009D6764" w:rsidRDefault="009D6764" w:rsidP="009D6764">
            <w:pPr>
              <w:spacing w:line="259" w:lineRule="auto"/>
              <w:ind w:firstLine="0"/>
              <w:contextualSpacing w:val="0"/>
              <w:jc w:val="left"/>
              <w:rPr>
                <w:lang w:val="en-IL"/>
              </w:rPr>
            </w:pPr>
            <w:r w:rsidRPr="009D6764">
              <w:rPr>
                <w:color w:val="000000"/>
              </w:rPr>
              <w:t>7</w:t>
            </w:r>
          </w:p>
        </w:tc>
        <w:tc>
          <w:tcPr>
            <w:tcW w:w="1541" w:type="dxa"/>
            <w:shd w:val="clear" w:color="auto" w:fill="auto"/>
            <w:vAlign w:val="bottom"/>
          </w:tcPr>
          <w:p w14:paraId="7D1056ED" w14:textId="72C177D4" w:rsidR="009D6764" w:rsidRPr="009D6764" w:rsidRDefault="009D6764" w:rsidP="009D6764">
            <w:pPr>
              <w:spacing w:line="259" w:lineRule="auto"/>
              <w:ind w:firstLine="0"/>
              <w:contextualSpacing w:val="0"/>
              <w:jc w:val="left"/>
              <w:rPr>
                <w:lang w:val="en-IL"/>
              </w:rPr>
            </w:pPr>
            <w:r w:rsidRPr="009D6764">
              <w:rPr>
                <w:color w:val="000000"/>
              </w:rPr>
              <w:t>11</w:t>
            </w:r>
          </w:p>
        </w:tc>
        <w:tc>
          <w:tcPr>
            <w:tcW w:w="1541" w:type="dxa"/>
            <w:shd w:val="clear" w:color="auto" w:fill="auto"/>
            <w:vAlign w:val="bottom"/>
          </w:tcPr>
          <w:p w14:paraId="76E3C226" w14:textId="031EF116" w:rsidR="009D6764" w:rsidRPr="009D6764" w:rsidRDefault="009D6764" w:rsidP="009D6764">
            <w:pPr>
              <w:spacing w:line="259" w:lineRule="auto"/>
              <w:ind w:firstLine="0"/>
              <w:contextualSpacing w:val="0"/>
              <w:jc w:val="left"/>
              <w:rPr>
                <w:lang w:val="en-IL"/>
              </w:rPr>
            </w:pPr>
            <w:r w:rsidRPr="009D6764">
              <w:rPr>
                <w:color w:val="000000"/>
              </w:rPr>
              <w:t>18.5</w:t>
            </w:r>
          </w:p>
        </w:tc>
        <w:tc>
          <w:tcPr>
            <w:tcW w:w="1541" w:type="dxa"/>
            <w:shd w:val="clear" w:color="auto" w:fill="auto"/>
            <w:vAlign w:val="bottom"/>
          </w:tcPr>
          <w:p w14:paraId="1A9C15FB" w14:textId="55139037" w:rsidR="009D6764" w:rsidRPr="009D6764" w:rsidRDefault="009D6764" w:rsidP="009D6764">
            <w:pPr>
              <w:spacing w:line="259" w:lineRule="auto"/>
              <w:ind w:firstLine="0"/>
              <w:contextualSpacing w:val="0"/>
              <w:jc w:val="left"/>
              <w:rPr>
                <w:lang w:val="en-IL"/>
              </w:rPr>
            </w:pPr>
            <w:r w:rsidRPr="009D6764">
              <w:rPr>
                <w:color w:val="000000"/>
              </w:rPr>
              <w:t>28</w:t>
            </w:r>
          </w:p>
        </w:tc>
        <w:tc>
          <w:tcPr>
            <w:tcW w:w="1702" w:type="dxa"/>
            <w:shd w:val="clear" w:color="auto" w:fill="auto"/>
            <w:vAlign w:val="bottom"/>
          </w:tcPr>
          <w:p w14:paraId="7104007E" w14:textId="6A9062CD" w:rsidR="009D6764" w:rsidRPr="009D6764" w:rsidRDefault="009D6764" w:rsidP="009D6764">
            <w:pPr>
              <w:spacing w:line="259" w:lineRule="auto"/>
              <w:ind w:firstLine="0"/>
              <w:contextualSpacing w:val="0"/>
              <w:jc w:val="left"/>
              <w:rPr>
                <w:lang w:val="en-IL"/>
              </w:rPr>
            </w:pPr>
            <w:r w:rsidRPr="009D6764">
              <w:rPr>
                <w:color w:val="000000"/>
              </w:rPr>
              <w:t>49</w:t>
            </w:r>
          </w:p>
        </w:tc>
      </w:tr>
      <w:tr w:rsidR="009D6764" w14:paraId="1C5F3817" w14:textId="77777777" w:rsidTr="009A65A3">
        <w:tc>
          <w:tcPr>
            <w:tcW w:w="1134" w:type="dxa"/>
            <w:tcBorders>
              <w:right w:val="single" w:sz="4" w:space="0" w:color="auto"/>
            </w:tcBorders>
            <w:shd w:val="clear" w:color="auto" w:fill="auto"/>
          </w:tcPr>
          <w:p w14:paraId="12B3AB5F" w14:textId="77777777" w:rsidR="009D6764" w:rsidRPr="004F673A" w:rsidRDefault="009D6764" w:rsidP="009D6764">
            <w:pPr>
              <w:spacing w:line="259" w:lineRule="auto"/>
              <w:ind w:firstLine="0"/>
              <w:contextualSpacing w:val="0"/>
              <w:jc w:val="left"/>
              <w:rPr>
                <w:color w:val="000000"/>
                <w:lang w:val="en-IL"/>
              </w:rPr>
            </w:pPr>
          </w:p>
        </w:tc>
        <w:tc>
          <w:tcPr>
            <w:tcW w:w="2195" w:type="dxa"/>
            <w:shd w:val="clear" w:color="auto" w:fill="E7E6E6" w:themeFill="background2"/>
            <w:vAlign w:val="bottom"/>
          </w:tcPr>
          <w:p w14:paraId="11C22099" w14:textId="39C1A9A7" w:rsidR="009D6764" w:rsidRPr="009A65A3" w:rsidRDefault="009D6764" w:rsidP="009D6764">
            <w:pPr>
              <w:spacing w:line="259" w:lineRule="auto"/>
              <w:ind w:firstLine="0"/>
              <w:contextualSpacing w:val="0"/>
              <w:jc w:val="left"/>
              <w:rPr>
                <w:lang w:val="en-IL"/>
              </w:rPr>
            </w:pPr>
            <w:r w:rsidRPr="009A65A3">
              <w:rPr>
                <w:lang w:val="en-IL"/>
              </w:rPr>
              <w:t>PHQ-9</w:t>
            </w:r>
          </w:p>
        </w:tc>
        <w:tc>
          <w:tcPr>
            <w:tcW w:w="1793" w:type="dxa"/>
            <w:tcBorders>
              <w:left w:val="nil"/>
            </w:tcBorders>
            <w:shd w:val="clear" w:color="auto" w:fill="E7E6E6" w:themeFill="background2"/>
            <w:vAlign w:val="bottom"/>
          </w:tcPr>
          <w:p w14:paraId="5F695330" w14:textId="7B01EBAC" w:rsidR="009D6764" w:rsidRPr="009D6764" w:rsidRDefault="009D6764" w:rsidP="009D6764">
            <w:pPr>
              <w:spacing w:line="259" w:lineRule="auto"/>
              <w:ind w:firstLine="0"/>
              <w:contextualSpacing w:val="0"/>
              <w:jc w:val="left"/>
              <w:rPr>
                <w:lang w:val="en-IL"/>
              </w:rPr>
            </w:pPr>
            <w:r w:rsidRPr="009D6764">
              <w:rPr>
                <w:color w:val="000000"/>
              </w:rPr>
              <w:t>5.</w:t>
            </w:r>
            <w:r>
              <w:rPr>
                <w:color w:val="000000"/>
                <w:lang w:val="en-IL"/>
              </w:rPr>
              <w:t>08</w:t>
            </w:r>
            <w:r w:rsidR="002768B6">
              <w:rPr>
                <w:color w:val="000000"/>
                <w:lang w:val="en-IL"/>
              </w:rPr>
              <w:t xml:space="preserve"> (3.66)</w:t>
            </w:r>
          </w:p>
        </w:tc>
        <w:tc>
          <w:tcPr>
            <w:tcW w:w="1905" w:type="dxa"/>
            <w:shd w:val="clear" w:color="auto" w:fill="E7E6E6" w:themeFill="background2"/>
            <w:vAlign w:val="bottom"/>
          </w:tcPr>
          <w:p w14:paraId="66A94ED2" w14:textId="402B34A1" w:rsidR="009D6764" w:rsidRPr="009D6764" w:rsidRDefault="009D6764" w:rsidP="009D6764">
            <w:pPr>
              <w:spacing w:line="259" w:lineRule="auto"/>
              <w:ind w:firstLine="0"/>
              <w:contextualSpacing w:val="0"/>
              <w:jc w:val="left"/>
              <w:rPr>
                <w:lang w:val="en-IL"/>
              </w:rPr>
            </w:pPr>
            <w:r w:rsidRPr="009D6764">
              <w:rPr>
                <w:color w:val="000000"/>
              </w:rPr>
              <w:t>0</w:t>
            </w:r>
          </w:p>
        </w:tc>
        <w:tc>
          <w:tcPr>
            <w:tcW w:w="1541" w:type="dxa"/>
            <w:shd w:val="clear" w:color="auto" w:fill="E7E6E6" w:themeFill="background2"/>
            <w:vAlign w:val="bottom"/>
          </w:tcPr>
          <w:p w14:paraId="0841CE32" w14:textId="548EDC61" w:rsidR="009D6764" w:rsidRPr="009D6764" w:rsidRDefault="009D6764" w:rsidP="009D6764">
            <w:pPr>
              <w:spacing w:line="259" w:lineRule="auto"/>
              <w:ind w:firstLine="0"/>
              <w:contextualSpacing w:val="0"/>
              <w:jc w:val="left"/>
              <w:rPr>
                <w:lang w:val="en-IL"/>
              </w:rPr>
            </w:pPr>
            <w:r w:rsidRPr="009D6764">
              <w:rPr>
                <w:color w:val="000000"/>
              </w:rPr>
              <w:t>2</w:t>
            </w:r>
          </w:p>
        </w:tc>
        <w:tc>
          <w:tcPr>
            <w:tcW w:w="1541" w:type="dxa"/>
            <w:shd w:val="clear" w:color="auto" w:fill="E7E6E6" w:themeFill="background2"/>
            <w:vAlign w:val="bottom"/>
          </w:tcPr>
          <w:p w14:paraId="5F9009F6" w14:textId="07A9518E" w:rsidR="009D6764" w:rsidRPr="009D6764" w:rsidRDefault="009D6764" w:rsidP="009D6764">
            <w:pPr>
              <w:spacing w:line="259" w:lineRule="auto"/>
              <w:ind w:firstLine="0"/>
              <w:contextualSpacing w:val="0"/>
              <w:jc w:val="left"/>
              <w:rPr>
                <w:lang w:val="en-IL"/>
              </w:rPr>
            </w:pPr>
            <w:r w:rsidRPr="009D6764">
              <w:rPr>
                <w:color w:val="000000"/>
              </w:rPr>
              <w:t>4.5</w:t>
            </w:r>
          </w:p>
        </w:tc>
        <w:tc>
          <w:tcPr>
            <w:tcW w:w="1541" w:type="dxa"/>
            <w:shd w:val="clear" w:color="auto" w:fill="E7E6E6" w:themeFill="background2"/>
            <w:vAlign w:val="bottom"/>
          </w:tcPr>
          <w:p w14:paraId="33DB0C3E" w14:textId="05AA5FAC" w:rsidR="009D6764" w:rsidRPr="009D6764" w:rsidRDefault="009D6764" w:rsidP="009D6764">
            <w:pPr>
              <w:spacing w:line="259" w:lineRule="auto"/>
              <w:ind w:firstLine="0"/>
              <w:contextualSpacing w:val="0"/>
              <w:jc w:val="left"/>
              <w:rPr>
                <w:lang w:val="en-IL"/>
              </w:rPr>
            </w:pPr>
            <w:r w:rsidRPr="009D6764">
              <w:rPr>
                <w:color w:val="000000"/>
              </w:rPr>
              <w:t>7</w:t>
            </w:r>
          </w:p>
        </w:tc>
        <w:tc>
          <w:tcPr>
            <w:tcW w:w="1702" w:type="dxa"/>
            <w:shd w:val="clear" w:color="auto" w:fill="E7E6E6" w:themeFill="background2"/>
            <w:vAlign w:val="bottom"/>
          </w:tcPr>
          <w:p w14:paraId="7571733F" w14:textId="74250DF7" w:rsidR="009D6764" w:rsidRPr="009D6764" w:rsidRDefault="009D6764" w:rsidP="009D6764">
            <w:pPr>
              <w:spacing w:line="259" w:lineRule="auto"/>
              <w:ind w:firstLine="0"/>
              <w:contextualSpacing w:val="0"/>
              <w:jc w:val="left"/>
              <w:rPr>
                <w:lang w:val="en-IL"/>
              </w:rPr>
            </w:pPr>
            <w:r w:rsidRPr="009D6764">
              <w:rPr>
                <w:color w:val="000000"/>
              </w:rPr>
              <w:t>18</w:t>
            </w:r>
          </w:p>
        </w:tc>
      </w:tr>
      <w:tr w:rsidR="009D6764" w14:paraId="159EB844" w14:textId="77777777" w:rsidTr="004A470B">
        <w:tc>
          <w:tcPr>
            <w:tcW w:w="1134" w:type="dxa"/>
            <w:tcBorders>
              <w:right w:val="single" w:sz="4" w:space="0" w:color="auto"/>
            </w:tcBorders>
            <w:shd w:val="clear" w:color="auto" w:fill="auto"/>
          </w:tcPr>
          <w:p w14:paraId="438445B4" w14:textId="77777777" w:rsidR="009D6764" w:rsidRPr="004F673A" w:rsidRDefault="009D6764" w:rsidP="009D6764">
            <w:pPr>
              <w:spacing w:line="259" w:lineRule="auto"/>
              <w:ind w:firstLine="0"/>
              <w:contextualSpacing w:val="0"/>
              <w:jc w:val="left"/>
              <w:rPr>
                <w:color w:val="000000"/>
                <w:lang w:val="en-IL"/>
              </w:rPr>
            </w:pPr>
          </w:p>
        </w:tc>
        <w:tc>
          <w:tcPr>
            <w:tcW w:w="2195" w:type="dxa"/>
            <w:shd w:val="clear" w:color="auto" w:fill="auto"/>
            <w:vAlign w:val="bottom"/>
          </w:tcPr>
          <w:p w14:paraId="4472EDBF" w14:textId="5D46C023" w:rsidR="009D6764" w:rsidRPr="009A65A3" w:rsidRDefault="009D6764" w:rsidP="009D6764">
            <w:pPr>
              <w:spacing w:line="259" w:lineRule="auto"/>
              <w:ind w:firstLine="0"/>
              <w:contextualSpacing w:val="0"/>
              <w:jc w:val="left"/>
              <w:rPr>
                <w:lang w:val="en-IL"/>
              </w:rPr>
            </w:pPr>
            <w:r w:rsidRPr="009A65A3">
              <w:rPr>
                <w:lang w:val="en-IL"/>
              </w:rPr>
              <w:t>BAI</w:t>
            </w:r>
          </w:p>
        </w:tc>
        <w:tc>
          <w:tcPr>
            <w:tcW w:w="1793" w:type="dxa"/>
            <w:tcBorders>
              <w:left w:val="nil"/>
            </w:tcBorders>
            <w:shd w:val="clear" w:color="auto" w:fill="auto"/>
            <w:vAlign w:val="bottom"/>
          </w:tcPr>
          <w:p w14:paraId="08178CAF" w14:textId="6A5A983A" w:rsidR="009D6764" w:rsidRPr="009D6764" w:rsidRDefault="009D6764" w:rsidP="009D6764">
            <w:pPr>
              <w:spacing w:line="259" w:lineRule="auto"/>
              <w:ind w:firstLine="0"/>
              <w:contextualSpacing w:val="0"/>
              <w:jc w:val="left"/>
              <w:rPr>
                <w:color w:val="000000"/>
                <w:lang w:val="en-IL"/>
              </w:rPr>
            </w:pPr>
            <w:r w:rsidRPr="009D6764">
              <w:rPr>
                <w:color w:val="000000"/>
              </w:rPr>
              <w:t>8.</w:t>
            </w:r>
            <w:r>
              <w:rPr>
                <w:color w:val="000000"/>
                <w:lang w:val="en-IL"/>
              </w:rPr>
              <w:t>90</w:t>
            </w:r>
            <w:r w:rsidR="002768B6">
              <w:rPr>
                <w:color w:val="000000"/>
                <w:lang w:val="en-IL"/>
              </w:rPr>
              <w:t xml:space="preserve"> (8.60)</w:t>
            </w:r>
          </w:p>
        </w:tc>
        <w:tc>
          <w:tcPr>
            <w:tcW w:w="1905" w:type="dxa"/>
            <w:shd w:val="clear" w:color="auto" w:fill="auto"/>
            <w:vAlign w:val="bottom"/>
          </w:tcPr>
          <w:p w14:paraId="0A7CD651" w14:textId="4C95BDAE" w:rsidR="009D6764" w:rsidRPr="009D6764" w:rsidRDefault="009D6764" w:rsidP="009D6764">
            <w:pPr>
              <w:spacing w:line="259" w:lineRule="auto"/>
              <w:ind w:firstLine="0"/>
              <w:contextualSpacing w:val="0"/>
              <w:jc w:val="left"/>
              <w:rPr>
                <w:lang w:val="en-IL"/>
              </w:rPr>
            </w:pPr>
            <w:r w:rsidRPr="009D6764">
              <w:rPr>
                <w:color w:val="000000"/>
              </w:rPr>
              <w:t>0</w:t>
            </w:r>
          </w:p>
        </w:tc>
        <w:tc>
          <w:tcPr>
            <w:tcW w:w="1541" w:type="dxa"/>
            <w:shd w:val="clear" w:color="auto" w:fill="auto"/>
            <w:vAlign w:val="bottom"/>
          </w:tcPr>
          <w:p w14:paraId="72369280" w14:textId="279AAD48" w:rsidR="009D6764" w:rsidRPr="009D6764" w:rsidRDefault="009D6764" w:rsidP="009D6764">
            <w:pPr>
              <w:spacing w:line="259" w:lineRule="auto"/>
              <w:ind w:firstLine="0"/>
              <w:contextualSpacing w:val="0"/>
              <w:jc w:val="left"/>
              <w:rPr>
                <w:lang w:val="en-IL"/>
              </w:rPr>
            </w:pPr>
            <w:r w:rsidRPr="009D6764">
              <w:rPr>
                <w:color w:val="000000"/>
              </w:rPr>
              <w:t>2</w:t>
            </w:r>
          </w:p>
        </w:tc>
        <w:tc>
          <w:tcPr>
            <w:tcW w:w="1541" w:type="dxa"/>
            <w:shd w:val="clear" w:color="auto" w:fill="auto"/>
            <w:vAlign w:val="bottom"/>
          </w:tcPr>
          <w:p w14:paraId="329F37BB" w14:textId="73F65A4D" w:rsidR="009D6764" w:rsidRPr="009D6764" w:rsidRDefault="009D6764" w:rsidP="009D6764">
            <w:pPr>
              <w:spacing w:line="259" w:lineRule="auto"/>
              <w:ind w:firstLine="0"/>
              <w:contextualSpacing w:val="0"/>
              <w:jc w:val="left"/>
              <w:rPr>
                <w:lang w:val="en-IL"/>
              </w:rPr>
            </w:pPr>
            <w:r w:rsidRPr="009D6764">
              <w:rPr>
                <w:color w:val="000000"/>
              </w:rPr>
              <w:t>7</w:t>
            </w:r>
          </w:p>
        </w:tc>
        <w:tc>
          <w:tcPr>
            <w:tcW w:w="1541" w:type="dxa"/>
            <w:shd w:val="clear" w:color="auto" w:fill="auto"/>
            <w:vAlign w:val="bottom"/>
          </w:tcPr>
          <w:p w14:paraId="2129C4E5" w14:textId="4CF33030" w:rsidR="009D6764" w:rsidRPr="009D6764" w:rsidRDefault="009D6764" w:rsidP="009D6764">
            <w:pPr>
              <w:spacing w:line="259" w:lineRule="auto"/>
              <w:ind w:firstLine="0"/>
              <w:contextualSpacing w:val="0"/>
              <w:jc w:val="left"/>
              <w:rPr>
                <w:lang w:val="en-IL"/>
              </w:rPr>
            </w:pPr>
            <w:r w:rsidRPr="009D6764">
              <w:rPr>
                <w:color w:val="000000"/>
              </w:rPr>
              <w:t>13</w:t>
            </w:r>
          </w:p>
        </w:tc>
        <w:tc>
          <w:tcPr>
            <w:tcW w:w="1702" w:type="dxa"/>
            <w:shd w:val="clear" w:color="auto" w:fill="auto"/>
            <w:vAlign w:val="bottom"/>
          </w:tcPr>
          <w:p w14:paraId="5A73555D" w14:textId="288C70CA" w:rsidR="009D6764" w:rsidRPr="009D6764" w:rsidRDefault="009D6764" w:rsidP="009D6764">
            <w:pPr>
              <w:spacing w:line="259" w:lineRule="auto"/>
              <w:ind w:firstLine="0"/>
              <w:contextualSpacing w:val="0"/>
              <w:jc w:val="left"/>
              <w:rPr>
                <w:lang w:val="en-IL"/>
              </w:rPr>
            </w:pPr>
            <w:r w:rsidRPr="009D6764">
              <w:rPr>
                <w:color w:val="000000"/>
              </w:rPr>
              <w:t>50</w:t>
            </w:r>
          </w:p>
        </w:tc>
      </w:tr>
    </w:tbl>
    <w:p w14:paraId="31854C4B" w14:textId="77777777" w:rsidR="006A5F62" w:rsidRDefault="006A5F62">
      <w:pPr>
        <w:spacing w:line="259" w:lineRule="auto"/>
        <w:ind w:firstLine="0"/>
        <w:contextualSpacing w:val="0"/>
        <w:jc w:val="left"/>
        <w:sectPr w:rsidR="006A5F62" w:rsidSect="004F673A">
          <w:pgSz w:w="16838" w:h="11906" w:orient="landscape"/>
          <w:pgMar w:top="1797" w:right="1440" w:bottom="1797" w:left="1440" w:header="709" w:footer="709" w:gutter="0"/>
          <w:cols w:space="708"/>
          <w:bidi/>
          <w:rtlGutter/>
          <w:docGrid w:linePitch="360"/>
        </w:sectPr>
      </w:pPr>
      <w:bookmarkStart w:id="2" w:name="_GoBack"/>
    </w:p>
    <w:p w14:paraId="4494CF1E" w14:textId="0441A205" w:rsidR="006A5F62" w:rsidRDefault="006A5F62">
      <w:pPr>
        <w:spacing w:line="259" w:lineRule="auto"/>
        <w:ind w:firstLine="0"/>
        <w:contextualSpacing w:val="0"/>
        <w:jc w:val="left"/>
      </w:pPr>
    </w:p>
    <w:tbl>
      <w:tblPr>
        <w:tblStyle w:val="TableGrid"/>
        <w:tblW w:w="14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
        <w:gridCol w:w="1856"/>
        <w:gridCol w:w="1719"/>
        <w:gridCol w:w="1984"/>
        <w:gridCol w:w="1505"/>
        <w:gridCol w:w="1736"/>
        <w:gridCol w:w="2030"/>
        <w:gridCol w:w="2030"/>
        <w:gridCol w:w="165"/>
      </w:tblGrid>
      <w:tr w:rsidR="00E26607" w:rsidRPr="00F63633" w14:paraId="6D8A1234" w14:textId="77777777" w:rsidTr="00091D77">
        <w:trPr>
          <w:trHeight w:val="302"/>
        </w:trPr>
        <w:tc>
          <w:tcPr>
            <w:tcW w:w="14208" w:type="dxa"/>
            <w:gridSpan w:val="9"/>
            <w:noWrap/>
          </w:tcPr>
          <w:bookmarkEnd w:id="2"/>
          <w:p w14:paraId="07E4BF43" w14:textId="3E1C8B5D" w:rsidR="00E26607" w:rsidRPr="002610AA" w:rsidRDefault="00E26607" w:rsidP="00E26607">
            <w:pPr>
              <w:spacing w:line="259" w:lineRule="auto"/>
              <w:ind w:firstLine="0"/>
              <w:contextualSpacing w:val="0"/>
              <w:jc w:val="left"/>
              <w:rPr>
                <w:b/>
                <w:bCs/>
              </w:rPr>
            </w:pPr>
            <w:r>
              <w:rPr>
                <w:b/>
                <w:bCs/>
              </w:rPr>
              <w:t xml:space="preserve">Table </w:t>
            </w:r>
            <w:r w:rsidR="004C2770">
              <w:rPr>
                <w:b/>
                <w:bCs/>
                <w:lang w:val="en-IL"/>
              </w:rPr>
              <w:t>2</w:t>
            </w:r>
            <w:r>
              <w:rPr>
                <w:b/>
                <w:bCs/>
              </w:rPr>
              <w:t xml:space="preserve">. </w:t>
            </w:r>
            <w:proofErr w:type="gramStart"/>
            <w:r w:rsidRPr="00E26607">
              <w:t>Indirect path coefficients,</w:t>
            </w:r>
            <w:proofErr w:type="gramEnd"/>
            <w:r w:rsidRPr="00E26607">
              <w:t xml:space="preserve"> bootstrapped standard deviation, upper and lower confidence interval.</w:t>
            </w:r>
            <w:r w:rsidR="002610AA">
              <w:t xml:space="preserve"> PER = Positive Emotional Reactivity, RNT = Repetitive negative thinking, CFQ = Cognitive Fusion Questionnaire</w:t>
            </w:r>
            <w:r w:rsidR="000F0EBA">
              <w:t>, D1B-Diff = Dichotic 1-Back Mean Difference Score</w:t>
            </w:r>
            <w:r w:rsidR="002610AA">
              <w:t>.</w:t>
            </w:r>
          </w:p>
        </w:tc>
      </w:tr>
      <w:tr w:rsidR="009958D5" w:rsidRPr="00F63633" w14:paraId="372030CE" w14:textId="77777777" w:rsidTr="007E625D">
        <w:trPr>
          <w:trHeight w:val="302"/>
        </w:trPr>
        <w:tc>
          <w:tcPr>
            <w:tcW w:w="1183" w:type="dxa"/>
            <w:noWrap/>
            <w:hideMark/>
          </w:tcPr>
          <w:p w14:paraId="33E910BC" w14:textId="77777777" w:rsidR="00F63633" w:rsidRPr="00F63633" w:rsidRDefault="00F63633" w:rsidP="00F63633">
            <w:pPr>
              <w:spacing w:line="259" w:lineRule="auto"/>
              <w:ind w:firstLine="0"/>
              <w:contextualSpacing w:val="0"/>
              <w:jc w:val="left"/>
            </w:pPr>
          </w:p>
        </w:tc>
        <w:tc>
          <w:tcPr>
            <w:tcW w:w="1856" w:type="dxa"/>
            <w:noWrap/>
            <w:hideMark/>
          </w:tcPr>
          <w:p w14:paraId="0F33BB3D" w14:textId="77777777" w:rsidR="00F63633" w:rsidRPr="00F63633" w:rsidRDefault="00F63633" w:rsidP="00F63633">
            <w:pPr>
              <w:spacing w:line="259" w:lineRule="auto"/>
              <w:ind w:firstLine="0"/>
              <w:contextualSpacing w:val="0"/>
              <w:jc w:val="left"/>
            </w:pPr>
          </w:p>
        </w:tc>
        <w:tc>
          <w:tcPr>
            <w:tcW w:w="1719" w:type="dxa"/>
            <w:noWrap/>
            <w:hideMark/>
          </w:tcPr>
          <w:p w14:paraId="4EA2DCD0" w14:textId="77777777" w:rsidR="00F63633" w:rsidRPr="00F63633" w:rsidRDefault="00F63633" w:rsidP="00F63633">
            <w:pPr>
              <w:spacing w:line="259" w:lineRule="auto"/>
              <w:ind w:firstLine="0"/>
              <w:contextualSpacing w:val="0"/>
              <w:jc w:val="left"/>
            </w:pPr>
          </w:p>
        </w:tc>
        <w:tc>
          <w:tcPr>
            <w:tcW w:w="1984" w:type="dxa"/>
            <w:noWrap/>
            <w:hideMark/>
          </w:tcPr>
          <w:p w14:paraId="58FE069B" w14:textId="77777777" w:rsidR="00F63633" w:rsidRPr="00F63633" w:rsidRDefault="00F63633" w:rsidP="00F63633">
            <w:pPr>
              <w:spacing w:line="259" w:lineRule="auto"/>
              <w:ind w:firstLine="0"/>
              <w:contextualSpacing w:val="0"/>
              <w:jc w:val="left"/>
            </w:pPr>
          </w:p>
        </w:tc>
        <w:tc>
          <w:tcPr>
            <w:tcW w:w="7466" w:type="dxa"/>
            <w:gridSpan w:val="5"/>
            <w:noWrap/>
            <w:hideMark/>
          </w:tcPr>
          <w:p w14:paraId="2450497E" w14:textId="359971B5" w:rsidR="00F63633" w:rsidRPr="00F63633" w:rsidRDefault="00F63633" w:rsidP="00F63633">
            <w:pPr>
              <w:spacing w:line="259" w:lineRule="auto"/>
              <w:ind w:firstLine="0"/>
              <w:contextualSpacing w:val="0"/>
              <w:jc w:val="center"/>
              <w:rPr>
                <w:b/>
                <w:bCs/>
              </w:rPr>
            </w:pPr>
            <w:r w:rsidRPr="00F63633">
              <w:rPr>
                <w:b/>
                <w:bCs/>
              </w:rPr>
              <w:t>Indirect path (a</w:t>
            </w:r>
            <w:r w:rsidR="009B1D55" w:rsidRPr="009B1D55">
              <w:rPr>
                <w:b/>
                <w:bCs/>
                <w:vertAlign w:val="subscript"/>
              </w:rPr>
              <w:t>1</w:t>
            </w:r>
            <w:r w:rsidR="009B1D55">
              <w:rPr>
                <w:b/>
                <w:bCs/>
              </w:rPr>
              <w:t>·</w:t>
            </w:r>
            <w:r w:rsidRPr="00F63633">
              <w:rPr>
                <w:b/>
                <w:bCs/>
              </w:rPr>
              <w:t>d</w:t>
            </w:r>
            <w:r w:rsidR="009B1D55" w:rsidRPr="009B1D55">
              <w:rPr>
                <w:b/>
                <w:bCs/>
                <w:vertAlign w:val="subscript"/>
              </w:rPr>
              <w:t>21</w:t>
            </w:r>
            <w:r w:rsidR="009B1D55">
              <w:rPr>
                <w:b/>
                <w:bCs/>
              </w:rPr>
              <w:t>·</w:t>
            </w:r>
            <w:r w:rsidRPr="00F63633">
              <w:rPr>
                <w:b/>
                <w:bCs/>
              </w:rPr>
              <w:t>b</w:t>
            </w:r>
            <w:r w:rsidR="009B1D55" w:rsidRPr="009B1D55">
              <w:rPr>
                <w:b/>
                <w:bCs/>
                <w:vertAlign w:val="subscript"/>
              </w:rPr>
              <w:t>2</w:t>
            </w:r>
            <w:r w:rsidRPr="00F63633">
              <w:rPr>
                <w:b/>
                <w:bCs/>
              </w:rPr>
              <w:t>)</w:t>
            </w:r>
          </w:p>
        </w:tc>
      </w:tr>
      <w:tr w:rsidR="009958D5" w:rsidRPr="00F63633" w14:paraId="5714BF59" w14:textId="77777777" w:rsidTr="00091D77">
        <w:trPr>
          <w:gridAfter w:val="1"/>
          <w:wAfter w:w="165" w:type="dxa"/>
          <w:trHeight w:val="302"/>
        </w:trPr>
        <w:tc>
          <w:tcPr>
            <w:tcW w:w="1183" w:type="dxa"/>
            <w:tcBorders>
              <w:bottom w:val="single" w:sz="4" w:space="0" w:color="auto"/>
            </w:tcBorders>
            <w:hideMark/>
          </w:tcPr>
          <w:p w14:paraId="68FD13FE" w14:textId="77777777" w:rsidR="00F63633" w:rsidRPr="00F63633" w:rsidRDefault="00F63633" w:rsidP="00F63633">
            <w:pPr>
              <w:spacing w:line="259" w:lineRule="auto"/>
              <w:ind w:firstLine="0"/>
              <w:contextualSpacing w:val="0"/>
              <w:jc w:val="left"/>
              <w:rPr>
                <w:b/>
                <w:bCs/>
              </w:rPr>
            </w:pPr>
            <w:r w:rsidRPr="00F63633">
              <w:rPr>
                <w:b/>
                <w:bCs/>
              </w:rPr>
              <w:t>X</w:t>
            </w:r>
          </w:p>
        </w:tc>
        <w:tc>
          <w:tcPr>
            <w:tcW w:w="1856" w:type="dxa"/>
            <w:tcBorders>
              <w:bottom w:val="single" w:sz="4" w:space="0" w:color="auto"/>
            </w:tcBorders>
            <w:hideMark/>
          </w:tcPr>
          <w:p w14:paraId="4FF4EA36" w14:textId="77777777" w:rsidR="00F63633" w:rsidRPr="00F63633" w:rsidRDefault="00F63633" w:rsidP="00F63633">
            <w:pPr>
              <w:spacing w:line="259" w:lineRule="auto"/>
              <w:ind w:firstLine="0"/>
              <w:contextualSpacing w:val="0"/>
              <w:jc w:val="left"/>
              <w:rPr>
                <w:b/>
                <w:bCs/>
              </w:rPr>
            </w:pPr>
            <w:r w:rsidRPr="00F63633">
              <w:rPr>
                <w:b/>
                <w:bCs/>
              </w:rPr>
              <w:t>M1</w:t>
            </w:r>
          </w:p>
        </w:tc>
        <w:tc>
          <w:tcPr>
            <w:tcW w:w="1719" w:type="dxa"/>
            <w:tcBorders>
              <w:bottom w:val="single" w:sz="4" w:space="0" w:color="auto"/>
            </w:tcBorders>
            <w:hideMark/>
          </w:tcPr>
          <w:p w14:paraId="01CA0BE3" w14:textId="77777777" w:rsidR="00F63633" w:rsidRPr="00F63633" w:rsidRDefault="00F63633" w:rsidP="00F63633">
            <w:pPr>
              <w:spacing w:line="259" w:lineRule="auto"/>
              <w:ind w:firstLine="0"/>
              <w:contextualSpacing w:val="0"/>
              <w:jc w:val="left"/>
              <w:rPr>
                <w:b/>
                <w:bCs/>
              </w:rPr>
            </w:pPr>
            <w:r w:rsidRPr="00F63633">
              <w:rPr>
                <w:b/>
                <w:bCs/>
              </w:rPr>
              <w:t>M2</w:t>
            </w:r>
          </w:p>
        </w:tc>
        <w:tc>
          <w:tcPr>
            <w:tcW w:w="1984" w:type="dxa"/>
            <w:tcBorders>
              <w:bottom w:val="single" w:sz="4" w:space="0" w:color="auto"/>
              <w:right w:val="single" w:sz="4" w:space="0" w:color="auto"/>
            </w:tcBorders>
            <w:hideMark/>
          </w:tcPr>
          <w:p w14:paraId="3F36B704" w14:textId="77777777" w:rsidR="00F63633" w:rsidRPr="00F63633" w:rsidRDefault="00F63633" w:rsidP="00F63633">
            <w:pPr>
              <w:spacing w:line="259" w:lineRule="auto"/>
              <w:ind w:firstLine="0"/>
              <w:contextualSpacing w:val="0"/>
              <w:jc w:val="left"/>
              <w:rPr>
                <w:b/>
                <w:bCs/>
              </w:rPr>
            </w:pPr>
            <w:r w:rsidRPr="00F63633">
              <w:rPr>
                <w:b/>
                <w:bCs/>
              </w:rPr>
              <w:t>Y</w:t>
            </w:r>
          </w:p>
        </w:tc>
        <w:tc>
          <w:tcPr>
            <w:tcW w:w="1505" w:type="dxa"/>
            <w:tcBorders>
              <w:left w:val="single" w:sz="4" w:space="0" w:color="auto"/>
              <w:bottom w:val="single" w:sz="4" w:space="0" w:color="auto"/>
            </w:tcBorders>
            <w:hideMark/>
          </w:tcPr>
          <w:p w14:paraId="3117ED19" w14:textId="77777777" w:rsidR="00F63633" w:rsidRPr="00F63633" w:rsidRDefault="00F63633" w:rsidP="00F63633">
            <w:pPr>
              <w:spacing w:line="259" w:lineRule="auto"/>
              <w:ind w:firstLine="0"/>
              <w:contextualSpacing w:val="0"/>
              <w:jc w:val="left"/>
              <w:rPr>
                <w:b/>
                <w:bCs/>
              </w:rPr>
            </w:pPr>
            <w:r w:rsidRPr="00F63633">
              <w:rPr>
                <w:b/>
                <w:bCs/>
              </w:rPr>
              <w:t>Beta</w:t>
            </w:r>
          </w:p>
        </w:tc>
        <w:tc>
          <w:tcPr>
            <w:tcW w:w="1736" w:type="dxa"/>
            <w:tcBorders>
              <w:bottom w:val="single" w:sz="4" w:space="0" w:color="auto"/>
            </w:tcBorders>
            <w:hideMark/>
          </w:tcPr>
          <w:p w14:paraId="7DEF9DFD" w14:textId="77777777" w:rsidR="00F63633" w:rsidRPr="00F63633" w:rsidRDefault="00F63633" w:rsidP="00F63633">
            <w:pPr>
              <w:spacing w:line="259" w:lineRule="auto"/>
              <w:ind w:firstLine="0"/>
              <w:contextualSpacing w:val="0"/>
              <w:jc w:val="left"/>
              <w:rPr>
                <w:b/>
                <w:bCs/>
              </w:rPr>
            </w:pPr>
            <w:r w:rsidRPr="00F63633">
              <w:rPr>
                <w:b/>
                <w:bCs/>
              </w:rPr>
              <w:t>Boot SD</w:t>
            </w:r>
          </w:p>
        </w:tc>
        <w:tc>
          <w:tcPr>
            <w:tcW w:w="2030" w:type="dxa"/>
            <w:tcBorders>
              <w:bottom w:val="single" w:sz="4" w:space="0" w:color="auto"/>
            </w:tcBorders>
            <w:hideMark/>
          </w:tcPr>
          <w:p w14:paraId="6C8CDECE" w14:textId="77777777" w:rsidR="00F63633" w:rsidRPr="00F63633" w:rsidRDefault="00F63633" w:rsidP="00F63633">
            <w:pPr>
              <w:spacing w:line="259" w:lineRule="auto"/>
              <w:ind w:firstLine="0"/>
              <w:contextualSpacing w:val="0"/>
              <w:jc w:val="left"/>
              <w:rPr>
                <w:b/>
                <w:bCs/>
              </w:rPr>
            </w:pPr>
            <w:r w:rsidRPr="00F63633">
              <w:rPr>
                <w:b/>
                <w:bCs/>
              </w:rPr>
              <w:t>Upper CI</w:t>
            </w:r>
          </w:p>
        </w:tc>
        <w:tc>
          <w:tcPr>
            <w:tcW w:w="2030" w:type="dxa"/>
            <w:tcBorders>
              <w:bottom w:val="single" w:sz="4" w:space="0" w:color="auto"/>
            </w:tcBorders>
            <w:hideMark/>
          </w:tcPr>
          <w:p w14:paraId="734C7440" w14:textId="244E32B4" w:rsidR="00F63633" w:rsidRPr="00F63633" w:rsidRDefault="00F63633" w:rsidP="00F63633">
            <w:pPr>
              <w:spacing w:line="259" w:lineRule="auto"/>
              <w:ind w:firstLine="0"/>
              <w:contextualSpacing w:val="0"/>
              <w:jc w:val="left"/>
              <w:rPr>
                <w:b/>
                <w:bCs/>
              </w:rPr>
            </w:pPr>
            <w:r w:rsidRPr="00F63633">
              <w:rPr>
                <w:b/>
                <w:bCs/>
              </w:rPr>
              <w:t>Lower</w:t>
            </w:r>
            <w:r w:rsidR="009958D5">
              <w:rPr>
                <w:b/>
                <w:bCs/>
              </w:rPr>
              <w:t xml:space="preserve"> </w:t>
            </w:r>
            <w:r w:rsidRPr="00F63633">
              <w:rPr>
                <w:b/>
                <w:bCs/>
              </w:rPr>
              <w:t>CI</w:t>
            </w:r>
          </w:p>
        </w:tc>
      </w:tr>
      <w:tr w:rsidR="00F63633" w:rsidRPr="00F63633" w14:paraId="5FD57B1D" w14:textId="77777777" w:rsidTr="00091D77">
        <w:trPr>
          <w:gridAfter w:val="1"/>
          <w:wAfter w:w="165" w:type="dxa"/>
          <w:trHeight w:val="302"/>
        </w:trPr>
        <w:tc>
          <w:tcPr>
            <w:tcW w:w="1183" w:type="dxa"/>
            <w:tcBorders>
              <w:top w:val="single" w:sz="4" w:space="0" w:color="auto"/>
            </w:tcBorders>
            <w:shd w:val="clear" w:color="auto" w:fill="E7E6E6" w:themeFill="background2"/>
            <w:noWrap/>
            <w:hideMark/>
          </w:tcPr>
          <w:p w14:paraId="51FD9C29" w14:textId="77777777" w:rsidR="00F63633" w:rsidRPr="00F63633" w:rsidRDefault="00F63633" w:rsidP="00F63633">
            <w:pPr>
              <w:spacing w:line="259" w:lineRule="auto"/>
              <w:ind w:firstLine="0"/>
              <w:contextualSpacing w:val="0"/>
              <w:jc w:val="left"/>
            </w:pPr>
            <w:r w:rsidRPr="00F63633">
              <w:t>PER</w:t>
            </w:r>
          </w:p>
        </w:tc>
        <w:tc>
          <w:tcPr>
            <w:tcW w:w="1856" w:type="dxa"/>
            <w:tcBorders>
              <w:top w:val="single" w:sz="4" w:space="0" w:color="auto"/>
            </w:tcBorders>
            <w:shd w:val="clear" w:color="auto" w:fill="E7E6E6" w:themeFill="background2"/>
            <w:noWrap/>
            <w:hideMark/>
          </w:tcPr>
          <w:p w14:paraId="095CC124" w14:textId="77777777" w:rsidR="00F63633" w:rsidRPr="00F63633" w:rsidRDefault="00F63633" w:rsidP="00F63633">
            <w:pPr>
              <w:spacing w:line="259" w:lineRule="auto"/>
              <w:ind w:firstLine="0"/>
              <w:contextualSpacing w:val="0"/>
              <w:jc w:val="left"/>
            </w:pPr>
            <w:r w:rsidRPr="00F63633">
              <w:t>D1B-Diff</w:t>
            </w:r>
          </w:p>
        </w:tc>
        <w:tc>
          <w:tcPr>
            <w:tcW w:w="1719" w:type="dxa"/>
            <w:tcBorders>
              <w:top w:val="single" w:sz="4" w:space="0" w:color="auto"/>
            </w:tcBorders>
            <w:shd w:val="clear" w:color="auto" w:fill="E7E6E6" w:themeFill="background2"/>
            <w:noWrap/>
            <w:hideMark/>
          </w:tcPr>
          <w:p w14:paraId="466A394D" w14:textId="77777777" w:rsidR="00F63633" w:rsidRPr="00F63633" w:rsidRDefault="00F63633" w:rsidP="00F63633">
            <w:pPr>
              <w:spacing w:line="259" w:lineRule="auto"/>
              <w:ind w:firstLine="0"/>
              <w:contextualSpacing w:val="0"/>
              <w:jc w:val="left"/>
            </w:pPr>
            <w:r w:rsidRPr="00F63633">
              <w:t>RNT</w:t>
            </w:r>
          </w:p>
        </w:tc>
        <w:tc>
          <w:tcPr>
            <w:tcW w:w="1984" w:type="dxa"/>
            <w:tcBorders>
              <w:top w:val="single" w:sz="4" w:space="0" w:color="auto"/>
              <w:right w:val="single" w:sz="4" w:space="0" w:color="auto"/>
            </w:tcBorders>
            <w:shd w:val="clear" w:color="auto" w:fill="E7E6E6" w:themeFill="background2"/>
            <w:noWrap/>
            <w:hideMark/>
          </w:tcPr>
          <w:p w14:paraId="742513CA" w14:textId="77777777" w:rsidR="00F63633" w:rsidRPr="00F63633" w:rsidRDefault="00F63633" w:rsidP="00F63633">
            <w:pPr>
              <w:spacing w:line="259" w:lineRule="auto"/>
              <w:ind w:firstLine="0"/>
              <w:contextualSpacing w:val="0"/>
              <w:jc w:val="left"/>
            </w:pPr>
            <w:r w:rsidRPr="00F63633">
              <w:t>Depression</w:t>
            </w:r>
          </w:p>
        </w:tc>
        <w:tc>
          <w:tcPr>
            <w:tcW w:w="1505" w:type="dxa"/>
            <w:tcBorders>
              <w:top w:val="single" w:sz="4" w:space="0" w:color="auto"/>
              <w:left w:val="single" w:sz="4" w:space="0" w:color="auto"/>
            </w:tcBorders>
            <w:shd w:val="clear" w:color="auto" w:fill="E7E6E6" w:themeFill="background2"/>
            <w:noWrap/>
            <w:hideMark/>
          </w:tcPr>
          <w:p w14:paraId="4D751DE6" w14:textId="77777777" w:rsidR="00F63633" w:rsidRPr="00F63633" w:rsidRDefault="00F63633" w:rsidP="00F63633">
            <w:pPr>
              <w:spacing w:line="259" w:lineRule="auto"/>
              <w:ind w:firstLine="0"/>
              <w:contextualSpacing w:val="0"/>
              <w:jc w:val="left"/>
            </w:pPr>
            <w:r w:rsidRPr="00F63633">
              <w:t>0.08</w:t>
            </w:r>
          </w:p>
        </w:tc>
        <w:tc>
          <w:tcPr>
            <w:tcW w:w="1736" w:type="dxa"/>
            <w:tcBorders>
              <w:top w:val="single" w:sz="4" w:space="0" w:color="auto"/>
            </w:tcBorders>
            <w:shd w:val="clear" w:color="auto" w:fill="E7E6E6" w:themeFill="background2"/>
            <w:noWrap/>
            <w:hideMark/>
          </w:tcPr>
          <w:p w14:paraId="2108E197" w14:textId="77777777" w:rsidR="00F63633" w:rsidRPr="00F63633" w:rsidRDefault="00F63633" w:rsidP="00F63633">
            <w:pPr>
              <w:spacing w:line="259" w:lineRule="auto"/>
              <w:ind w:firstLine="0"/>
              <w:contextualSpacing w:val="0"/>
              <w:jc w:val="left"/>
            </w:pPr>
            <w:r w:rsidRPr="00F63633">
              <w:t>0.12</w:t>
            </w:r>
          </w:p>
        </w:tc>
        <w:tc>
          <w:tcPr>
            <w:tcW w:w="2030" w:type="dxa"/>
            <w:tcBorders>
              <w:top w:val="single" w:sz="4" w:space="0" w:color="auto"/>
            </w:tcBorders>
            <w:shd w:val="clear" w:color="auto" w:fill="E7E6E6" w:themeFill="background2"/>
            <w:noWrap/>
            <w:hideMark/>
          </w:tcPr>
          <w:p w14:paraId="6CC319F2" w14:textId="77777777" w:rsidR="00F63633" w:rsidRPr="00F63633" w:rsidRDefault="00F63633" w:rsidP="00F63633">
            <w:pPr>
              <w:spacing w:line="259" w:lineRule="auto"/>
              <w:ind w:firstLine="0"/>
              <w:contextualSpacing w:val="0"/>
              <w:jc w:val="left"/>
            </w:pPr>
            <w:r w:rsidRPr="00F63633">
              <w:t>0.39</w:t>
            </w:r>
          </w:p>
        </w:tc>
        <w:tc>
          <w:tcPr>
            <w:tcW w:w="2030" w:type="dxa"/>
            <w:tcBorders>
              <w:top w:val="single" w:sz="4" w:space="0" w:color="auto"/>
            </w:tcBorders>
            <w:shd w:val="clear" w:color="auto" w:fill="E7E6E6" w:themeFill="background2"/>
            <w:noWrap/>
            <w:hideMark/>
          </w:tcPr>
          <w:p w14:paraId="13C74CAE" w14:textId="77777777" w:rsidR="00F63633" w:rsidRPr="00F63633" w:rsidRDefault="00F63633" w:rsidP="00F63633">
            <w:pPr>
              <w:spacing w:line="259" w:lineRule="auto"/>
              <w:ind w:firstLine="0"/>
              <w:contextualSpacing w:val="0"/>
              <w:jc w:val="left"/>
            </w:pPr>
            <w:r w:rsidRPr="00F63633">
              <w:t>-0.10</w:t>
            </w:r>
          </w:p>
        </w:tc>
      </w:tr>
      <w:tr w:rsidR="00F63633" w:rsidRPr="00F63633" w14:paraId="475E6799" w14:textId="77777777" w:rsidTr="00091D77">
        <w:trPr>
          <w:gridAfter w:val="1"/>
          <w:wAfter w:w="165" w:type="dxa"/>
          <w:trHeight w:val="302"/>
        </w:trPr>
        <w:tc>
          <w:tcPr>
            <w:tcW w:w="1183" w:type="dxa"/>
            <w:noWrap/>
            <w:hideMark/>
          </w:tcPr>
          <w:p w14:paraId="1BE0E174" w14:textId="77777777" w:rsidR="00F63633" w:rsidRPr="00F63633" w:rsidRDefault="00F63633" w:rsidP="00F63633">
            <w:pPr>
              <w:spacing w:line="259" w:lineRule="auto"/>
              <w:ind w:firstLine="0"/>
              <w:contextualSpacing w:val="0"/>
              <w:jc w:val="left"/>
            </w:pPr>
            <w:r w:rsidRPr="00F63633">
              <w:t>PER</w:t>
            </w:r>
          </w:p>
        </w:tc>
        <w:tc>
          <w:tcPr>
            <w:tcW w:w="1856" w:type="dxa"/>
            <w:noWrap/>
            <w:hideMark/>
          </w:tcPr>
          <w:p w14:paraId="1D35D16C" w14:textId="77777777" w:rsidR="00F63633" w:rsidRPr="00F63633" w:rsidRDefault="00F63633" w:rsidP="00F63633">
            <w:pPr>
              <w:spacing w:line="259" w:lineRule="auto"/>
              <w:ind w:firstLine="0"/>
              <w:contextualSpacing w:val="0"/>
              <w:jc w:val="left"/>
            </w:pPr>
            <w:r w:rsidRPr="00F63633">
              <w:t>D1B-Diff</w:t>
            </w:r>
          </w:p>
        </w:tc>
        <w:tc>
          <w:tcPr>
            <w:tcW w:w="1719" w:type="dxa"/>
            <w:noWrap/>
            <w:hideMark/>
          </w:tcPr>
          <w:p w14:paraId="34AFCB24" w14:textId="77777777" w:rsidR="00F63633" w:rsidRPr="00F63633" w:rsidRDefault="00F63633" w:rsidP="00F63633">
            <w:pPr>
              <w:spacing w:line="259" w:lineRule="auto"/>
              <w:ind w:firstLine="0"/>
              <w:contextualSpacing w:val="0"/>
              <w:jc w:val="left"/>
            </w:pPr>
            <w:r w:rsidRPr="00F63633">
              <w:t>RNT</w:t>
            </w:r>
          </w:p>
        </w:tc>
        <w:tc>
          <w:tcPr>
            <w:tcW w:w="1984" w:type="dxa"/>
            <w:tcBorders>
              <w:right w:val="single" w:sz="4" w:space="0" w:color="auto"/>
            </w:tcBorders>
            <w:noWrap/>
            <w:hideMark/>
          </w:tcPr>
          <w:p w14:paraId="5710F2AD" w14:textId="77777777" w:rsidR="00F63633" w:rsidRPr="00F63633" w:rsidRDefault="00F63633" w:rsidP="00F63633">
            <w:pPr>
              <w:spacing w:line="259" w:lineRule="auto"/>
              <w:ind w:firstLine="0"/>
              <w:contextualSpacing w:val="0"/>
              <w:jc w:val="left"/>
            </w:pPr>
            <w:r w:rsidRPr="00F63633">
              <w:t>Anxiety</w:t>
            </w:r>
          </w:p>
        </w:tc>
        <w:tc>
          <w:tcPr>
            <w:tcW w:w="1505" w:type="dxa"/>
            <w:tcBorders>
              <w:left w:val="single" w:sz="4" w:space="0" w:color="auto"/>
            </w:tcBorders>
            <w:noWrap/>
            <w:hideMark/>
          </w:tcPr>
          <w:p w14:paraId="403AC571" w14:textId="77777777" w:rsidR="00F63633" w:rsidRPr="00F63633" w:rsidRDefault="00F63633" w:rsidP="00F63633">
            <w:pPr>
              <w:spacing w:line="259" w:lineRule="auto"/>
              <w:ind w:firstLine="0"/>
              <w:contextualSpacing w:val="0"/>
              <w:jc w:val="left"/>
            </w:pPr>
            <w:r w:rsidRPr="00F63633">
              <w:t>0.19</w:t>
            </w:r>
          </w:p>
        </w:tc>
        <w:tc>
          <w:tcPr>
            <w:tcW w:w="1736" w:type="dxa"/>
            <w:noWrap/>
            <w:hideMark/>
          </w:tcPr>
          <w:p w14:paraId="29B55DCA" w14:textId="77777777" w:rsidR="00F63633" w:rsidRPr="00F63633" w:rsidRDefault="00F63633" w:rsidP="00F63633">
            <w:pPr>
              <w:spacing w:line="259" w:lineRule="auto"/>
              <w:ind w:firstLine="0"/>
              <w:contextualSpacing w:val="0"/>
              <w:jc w:val="left"/>
            </w:pPr>
            <w:r w:rsidRPr="00F63633">
              <w:t>0.29</w:t>
            </w:r>
          </w:p>
        </w:tc>
        <w:tc>
          <w:tcPr>
            <w:tcW w:w="2030" w:type="dxa"/>
            <w:noWrap/>
            <w:hideMark/>
          </w:tcPr>
          <w:p w14:paraId="2DDBCAC7" w14:textId="77777777" w:rsidR="00F63633" w:rsidRPr="00F63633" w:rsidRDefault="00F63633" w:rsidP="00F63633">
            <w:pPr>
              <w:spacing w:line="259" w:lineRule="auto"/>
              <w:ind w:firstLine="0"/>
              <w:contextualSpacing w:val="0"/>
              <w:jc w:val="left"/>
            </w:pPr>
            <w:r w:rsidRPr="00F63633">
              <w:t>0.95</w:t>
            </w:r>
          </w:p>
        </w:tc>
        <w:tc>
          <w:tcPr>
            <w:tcW w:w="2030" w:type="dxa"/>
            <w:noWrap/>
            <w:hideMark/>
          </w:tcPr>
          <w:p w14:paraId="63FEF734" w14:textId="77777777" w:rsidR="00F63633" w:rsidRPr="00F63633" w:rsidRDefault="00F63633" w:rsidP="00F63633">
            <w:pPr>
              <w:spacing w:line="259" w:lineRule="auto"/>
              <w:ind w:firstLine="0"/>
              <w:contextualSpacing w:val="0"/>
              <w:jc w:val="left"/>
            </w:pPr>
            <w:r w:rsidRPr="00F63633">
              <w:t>-0.28</w:t>
            </w:r>
          </w:p>
        </w:tc>
      </w:tr>
      <w:tr w:rsidR="00F63633" w:rsidRPr="00F63633" w14:paraId="430CB325" w14:textId="77777777" w:rsidTr="00091D77">
        <w:trPr>
          <w:gridAfter w:val="1"/>
          <w:wAfter w:w="165" w:type="dxa"/>
          <w:trHeight w:val="302"/>
        </w:trPr>
        <w:tc>
          <w:tcPr>
            <w:tcW w:w="1183" w:type="dxa"/>
            <w:shd w:val="clear" w:color="auto" w:fill="E7E6E6" w:themeFill="background2"/>
            <w:noWrap/>
            <w:hideMark/>
          </w:tcPr>
          <w:p w14:paraId="0BB92D08" w14:textId="77777777" w:rsidR="00F63633" w:rsidRPr="00F63633" w:rsidRDefault="00F63633" w:rsidP="00F63633">
            <w:pPr>
              <w:spacing w:line="259" w:lineRule="auto"/>
              <w:ind w:firstLine="0"/>
              <w:contextualSpacing w:val="0"/>
              <w:jc w:val="left"/>
            </w:pPr>
            <w:r w:rsidRPr="00F63633">
              <w:t>PER</w:t>
            </w:r>
          </w:p>
        </w:tc>
        <w:tc>
          <w:tcPr>
            <w:tcW w:w="1856" w:type="dxa"/>
            <w:shd w:val="clear" w:color="auto" w:fill="E7E6E6" w:themeFill="background2"/>
            <w:noWrap/>
            <w:hideMark/>
          </w:tcPr>
          <w:p w14:paraId="5A013437" w14:textId="77777777" w:rsidR="00F63633" w:rsidRPr="00F63633" w:rsidRDefault="00F63633" w:rsidP="00F63633">
            <w:pPr>
              <w:spacing w:line="259" w:lineRule="auto"/>
              <w:ind w:firstLine="0"/>
              <w:contextualSpacing w:val="0"/>
              <w:jc w:val="left"/>
            </w:pPr>
            <w:r w:rsidRPr="00F63633">
              <w:t>D1B-Diff</w:t>
            </w:r>
          </w:p>
        </w:tc>
        <w:tc>
          <w:tcPr>
            <w:tcW w:w="1719" w:type="dxa"/>
            <w:shd w:val="clear" w:color="auto" w:fill="E7E6E6" w:themeFill="background2"/>
            <w:noWrap/>
            <w:hideMark/>
          </w:tcPr>
          <w:p w14:paraId="7B3D178A" w14:textId="77777777" w:rsidR="00F63633" w:rsidRPr="00F63633" w:rsidRDefault="00F63633" w:rsidP="00F63633">
            <w:pPr>
              <w:spacing w:line="259" w:lineRule="auto"/>
              <w:ind w:firstLine="0"/>
              <w:contextualSpacing w:val="0"/>
              <w:jc w:val="left"/>
            </w:pPr>
            <w:r w:rsidRPr="00F63633">
              <w:t>Brooding</w:t>
            </w:r>
          </w:p>
        </w:tc>
        <w:tc>
          <w:tcPr>
            <w:tcW w:w="1984" w:type="dxa"/>
            <w:tcBorders>
              <w:right w:val="single" w:sz="4" w:space="0" w:color="auto"/>
            </w:tcBorders>
            <w:shd w:val="clear" w:color="auto" w:fill="E7E6E6" w:themeFill="background2"/>
            <w:noWrap/>
            <w:hideMark/>
          </w:tcPr>
          <w:p w14:paraId="71BD091C" w14:textId="77777777" w:rsidR="00F63633" w:rsidRPr="00F63633" w:rsidRDefault="00F63633" w:rsidP="00F63633">
            <w:pPr>
              <w:spacing w:line="259" w:lineRule="auto"/>
              <w:ind w:firstLine="0"/>
              <w:contextualSpacing w:val="0"/>
              <w:jc w:val="left"/>
            </w:pPr>
            <w:r w:rsidRPr="00F63633">
              <w:t>Depression</w:t>
            </w:r>
          </w:p>
        </w:tc>
        <w:tc>
          <w:tcPr>
            <w:tcW w:w="1505" w:type="dxa"/>
            <w:tcBorders>
              <w:left w:val="single" w:sz="4" w:space="0" w:color="auto"/>
            </w:tcBorders>
            <w:shd w:val="clear" w:color="auto" w:fill="E7E6E6" w:themeFill="background2"/>
            <w:noWrap/>
            <w:hideMark/>
          </w:tcPr>
          <w:p w14:paraId="7C135A4C" w14:textId="77777777" w:rsidR="00F63633" w:rsidRPr="00F63633" w:rsidRDefault="00F63633" w:rsidP="00F63633">
            <w:pPr>
              <w:spacing w:line="259" w:lineRule="auto"/>
              <w:ind w:firstLine="0"/>
              <w:contextualSpacing w:val="0"/>
              <w:jc w:val="left"/>
            </w:pPr>
            <w:r w:rsidRPr="00F63633">
              <w:t>0.08</w:t>
            </w:r>
          </w:p>
        </w:tc>
        <w:tc>
          <w:tcPr>
            <w:tcW w:w="1736" w:type="dxa"/>
            <w:shd w:val="clear" w:color="auto" w:fill="E7E6E6" w:themeFill="background2"/>
            <w:noWrap/>
            <w:hideMark/>
          </w:tcPr>
          <w:p w14:paraId="0D7C21CE" w14:textId="77777777" w:rsidR="00F63633" w:rsidRPr="00F63633" w:rsidRDefault="00F63633" w:rsidP="00F63633">
            <w:pPr>
              <w:spacing w:line="259" w:lineRule="auto"/>
              <w:ind w:firstLine="0"/>
              <w:contextualSpacing w:val="0"/>
              <w:jc w:val="left"/>
            </w:pPr>
            <w:r w:rsidRPr="00F63633">
              <w:t>0.11</w:t>
            </w:r>
          </w:p>
        </w:tc>
        <w:tc>
          <w:tcPr>
            <w:tcW w:w="2030" w:type="dxa"/>
            <w:shd w:val="clear" w:color="auto" w:fill="E7E6E6" w:themeFill="background2"/>
            <w:noWrap/>
            <w:hideMark/>
          </w:tcPr>
          <w:p w14:paraId="6E29899D" w14:textId="77777777" w:rsidR="00F63633" w:rsidRPr="00F63633" w:rsidRDefault="00F63633" w:rsidP="00F63633">
            <w:pPr>
              <w:spacing w:line="259" w:lineRule="auto"/>
              <w:ind w:firstLine="0"/>
              <w:contextualSpacing w:val="0"/>
              <w:jc w:val="left"/>
            </w:pPr>
            <w:r w:rsidRPr="00F63633">
              <w:t>0.40</w:t>
            </w:r>
          </w:p>
        </w:tc>
        <w:tc>
          <w:tcPr>
            <w:tcW w:w="2030" w:type="dxa"/>
            <w:shd w:val="clear" w:color="auto" w:fill="E7E6E6" w:themeFill="background2"/>
            <w:noWrap/>
            <w:hideMark/>
          </w:tcPr>
          <w:p w14:paraId="4A914B90" w14:textId="77777777" w:rsidR="00F63633" w:rsidRPr="00F63633" w:rsidRDefault="00F63633" w:rsidP="00F63633">
            <w:pPr>
              <w:spacing w:line="259" w:lineRule="auto"/>
              <w:ind w:firstLine="0"/>
              <w:contextualSpacing w:val="0"/>
              <w:jc w:val="left"/>
            </w:pPr>
            <w:r w:rsidRPr="00F63633">
              <w:t>-0.09</w:t>
            </w:r>
          </w:p>
        </w:tc>
      </w:tr>
      <w:tr w:rsidR="00F63633" w:rsidRPr="00F63633" w14:paraId="120158A5" w14:textId="77777777" w:rsidTr="00091D77">
        <w:trPr>
          <w:gridAfter w:val="1"/>
          <w:wAfter w:w="165" w:type="dxa"/>
          <w:trHeight w:val="302"/>
        </w:trPr>
        <w:tc>
          <w:tcPr>
            <w:tcW w:w="1183" w:type="dxa"/>
            <w:noWrap/>
            <w:hideMark/>
          </w:tcPr>
          <w:p w14:paraId="5941787E" w14:textId="77777777" w:rsidR="00F63633" w:rsidRPr="00F63633" w:rsidRDefault="00F63633" w:rsidP="00F63633">
            <w:pPr>
              <w:spacing w:line="259" w:lineRule="auto"/>
              <w:ind w:firstLine="0"/>
              <w:contextualSpacing w:val="0"/>
              <w:jc w:val="left"/>
            </w:pPr>
            <w:r w:rsidRPr="00F63633">
              <w:t>PER</w:t>
            </w:r>
          </w:p>
        </w:tc>
        <w:tc>
          <w:tcPr>
            <w:tcW w:w="1856" w:type="dxa"/>
            <w:noWrap/>
            <w:hideMark/>
          </w:tcPr>
          <w:p w14:paraId="3FB862C0" w14:textId="77777777" w:rsidR="00F63633" w:rsidRPr="00F63633" w:rsidRDefault="00F63633" w:rsidP="00F63633">
            <w:pPr>
              <w:spacing w:line="259" w:lineRule="auto"/>
              <w:ind w:firstLine="0"/>
              <w:contextualSpacing w:val="0"/>
              <w:jc w:val="left"/>
            </w:pPr>
            <w:r w:rsidRPr="00F63633">
              <w:t>D1B-Diff</w:t>
            </w:r>
          </w:p>
        </w:tc>
        <w:tc>
          <w:tcPr>
            <w:tcW w:w="1719" w:type="dxa"/>
            <w:noWrap/>
            <w:hideMark/>
          </w:tcPr>
          <w:p w14:paraId="1FB12596" w14:textId="77777777" w:rsidR="00F63633" w:rsidRPr="00F63633" w:rsidRDefault="00F63633" w:rsidP="00F63633">
            <w:pPr>
              <w:spacing w:line="259" w:lineRule="auto"/>
              <w:ind w:firstLine="0"/>
              <w:contextualSpacing w:val="0"/>
              <w:jc w:val="left"/>
            </w:pPr>
            <w:r w:rsidRPr="00F63633">
              <w:t>Brooding</w:t>
            </w:r>
          </w:p>
        </w:tc>
        <w:tc>
          <w:tcPr>
            <w:tcW w:w="1984" w:type="dxa"/>
            <w:tcBorders>
              <w:right w:val="single" w:sz="4" w:space="0" w:color="auto"/>
            </w:tcBorders>
            <w:noWrap/>
            <w:hideMark/>
          </w:tcPr>
          <w:p w14:paraId="69FBAA0E" w14:textId="77777777" w:rsidR="00F63633" w:rsidRPr="00F63633" w:rsidRDefault="00F63633" w:rsidP="00F63633">
            <w:pPr>
              <w:spacing w:line="259" w:lineRule="auto"/>
              <w:ind w:firstLine="0"/>
              <w:contextualSpacing w:val="0"/>
              <w:jc w:val="left"/>
            </w:pPr>
            <w:r w:rsidRPr="00F63633">
              <w:t>Anxiety</w:t>
            </w:r>
          </w:p>
        </w:tc>
        <w:tc>
          <w:tcPr>
            <w:tcW w:w="1505" w:type="dxa"/>
            <w:tcBorders>
              <w:left w:val="single" w:sz="4" w:space="0" w:color="auto"/>
            </w:tcBorders>
            <w:noWrap/>
            <w:hideMark/>
          </w:tcPr>
          <w:p w14:paraId="76B7CE9F" w14:textId="77777777" w:rsidR="00F63633" w:rsidRPr="00F63633" w:rsidRDefault="00F63633" w:rsidP="00F63633">
            <w:pPr>
              <w:spacing w:line="259" w:lineRule="auto"/>
              <w:ind w:firstLine="0"/>
              <w:contextualSpacing w:val="0"/>
              <w:jc w:val="left"/>
            </w:pPr>
            <w:r w:rsidRPr="00F63633">
              <w:t>0.14</w:t>
            </w:r>
          </w:p>
        </w:tc>
        <w:tc>
          <w:tcPr>
            <w:tcW w:w="1736" w:type="dxa"/>
            <w:noWrap/>
            <w:hideMark/>
          </w:tcPr>
          <w:p w14:paraId="047EAD6A" w14:textId="77777777" w:rsidR="00F63633" w:rsidRPr="00F63633" w:rsidRDefault="00F63633" w:rsidP="00F63633">
            <w:pPr>
              <w:spacing w:line="259" w:lineRule="auto"/>
              <w:ind w:firstLine="0"/>
              <w:contextualSpacing w:val="0"/>
              <w:jc w:val="left"/>
            </w:pPr>
            <w:r w:rsidRPr="00F63633">
              <w:t>0.21</w:t>
            </w:r>
          </w:p>
        </w:tc>
        <w:tc>
          <w:tcPr>
            <w:tcW w:w="2030" w:type="dxa"/>
            <w:noWrap/>
            <w:hideMark/>
          </w:tcPr>
          <w:p w14:paraId="0ACF7488" w14:textId="77777777" w:rsidR="00F63633" w:rsidRPr="00F63633" w:rsidRDefault="00F63633" w:rsidP="00F63633">
            <w:pPr>
              <w:spacing w:line="259" w:lineRule="auto"/>
              <w:ind w:firstLine="0"/>
              <w:contextualSpacing w:val="0"/>
              <w:jc w:val="left"/>
            </w:pPr>
            <w:r w:rsidRPr="00F63633">
              <w:t>0.73</w:t>
            </w:r>
          </w:p>
        </w:tc>
        <w:tc>
          <w:tcPr>
            <w:tcW w:w="2030" w:type="dxa"/>
            <w:noWrap/>
            <w:hideMark/>
          </w:tcPr>
          <w:p w14:paraId="53B641A6" w14:textId="77777777" w:rsidR="00F63633" w:rsidRPr="00F63633" w:rsidRDefault="00F63633" w:rsidP="00F63633">
            <w:pPr>
              <w:spacing w:line="259" w:lineRule="auto"/>
              <w:ind w:firstLine="0"/>
              <w:contextualSpacing w:val="0"/>
              <w:jc w:val="left"/>
            </w:pPr>
            <w:r w:rsidRPr="00F63633">
              <w:t>-0.16</w:t>
            </w:r>
          </w:p>
        </w:tc>
      </w:tr>
      <w:tr w:rsidR="00F63633" w:rsidRPr="00F63633" w14:paraId="6906D340" w14:textId="77777777" w:rsidTr="00091D77">
        <w:trPr>
          <w:gridAfter w:val="1"/>
          <w:wAfter w:w="165" w:type="dxa"/>
          <w:trHeight w:val="302"/>
        </w:trPr>
        <w:tc>
          <w:tcPr>
            <w:tcW w:w="1183" w:type="dxa"/>
            <w:shd w:val="clear" w:color="auto" w:fill="E7E6E6" w:themeFill="background2"/>
            <w:noWrap/>
            <w:hideMark/>
          </w:tcPr>
          <w:p w14:paraId="58B27587" w14:textId="77777777" w:rsidR="00F63633" w:rsidRPr="00F63633" w:rsidRDefault="00F63633" w:rsidP="00F63633">
            <w:pPr>
              <w:spacing w:line="259" w:lineRule="auto"/>
              <w:ind w:firstLine="0"/>
              <w:contextualSpacing w:val="0"/>
              <w:jc w:val="left"/>
            </w:pPr>
            <w:r w:rsidRPr="00F63633">
              <w:t>PER</w:t>
            </w:r>
          </w:p>
        </w:tc>
        <w:tc>
          <w:tcPr>
            <w:tcW w:w="1856" w:type="dxa"/>
            <w:shd w:val="clear" w:color="auto" w:fill="E7E6E6" w:themeFill="background2"/>
            <w:noWrap/>
            <w:hideMark/>
          </w:tcPr>
          <w:p w14:paraId="51538FBD" w14:textId="77777777" w:rsidR="00F63633" w:rsidRPr="00F63633" w:rsidRDefault="00F63633" w:rsidP="00F63633">
            <w:pPr>
              <w:spacing w:line="259" w:lineRule="auto"/>
              <w:ind w:firstLine="0"/>
              <w:contextualSpacing w:val="0"/>
              <w:jc w:val="left"/>
            </w:pPr>
            <w:r w:rsidRPr="00F63633">
              <w:t>D1B-Diff</w:t>
            </w:r>
          </w:p>
        </w:tc>
        <w:tc>
          <w:tcPr>
            <w:tcW w:w="1719" w:type="dxa"/>
            <w:shd w:val="clear" w:color="auto" w:fill="E7E6E6" w:themeFill="background2"/>
            <w:noWrap/>
            <w:hideMark/>
          </w:tcPr>
          <w:p w14:paraId="0DBE1B62" w14:textId="77777777" w:rsidR="00F63633" w:rsidRPr="00F63633" w:rsidRDefault="00F63633" w:rsidP="00F63633">
            <w:pPr>
              <w:spacing w:line="259" w:lineRule="auto"/>
              <w:ind w:firstLine="0"/>
              <w:contextualSpacing w:val="0"/>
              <w:jc w:val="left"/>
            </w:pPr>
            <w:r w:rsidRPr="00F63633">
              <w:t>CFQ</w:t>
            </w:r>
          </w:p>
        </w:tc>
        <w:tc>
          <w:tcPr>
            <w:tcW w:w="1984" w:type="dxa"/>
            <w:tcBorders>
              <w:right w:val="single" w:sz="4" w:space="0" w:color="auto"/>
            </w:tcBorders>
            <w:shd w:val="clear" w:color="auto" w:fill="E7E6E6" w:themeFill="background2"/>
            <w:noWrap/>
            <w:hideMark/>
          </w:tcPr>
          <w:p w14:paraId="512D2A49" w14:textId="77777777" w:rsidR="00F63633" w:rsidRPr="00F63633" w:rsidRDefault="00F63633" w:rsidP="00F63633">
            <w:pPr>
              <w:spacing w:line="259" w:lineRule="auto"/>
              <w:ind w:firstLine="0"/>
              <w:contextualSpacing w:val="0"/>
              <w:jc w:val="left"/>
            </w:pPr>
            <w:r w:rsidRPr="00F63633">
              <w:t>Depression</w:t>
            </w:r>
          </w:p>
        </w:tc>
        <w:tc>
          <w:tcPr>
            <w:tcW w:w="1505" w:type="dxa"/>
            <w:tcBorders>
              <w:left w:val="single" w:sz="4" w:space="0" w:color="auto"/>
            </w:tcBorders>
            <w:shd w:val="clear" w:color="auto" w:fill="E7E6E6" w:themeFill="background2"/>
            <w:noWrap/>
            <w:hideMark/>
          </w:tcPr>
          <w:p w14:paraId="4CBC0863" w14:textId="77777777" w:rsidR="00F63633" w:rsidRPr="00F63633" w:rsidRDefault="00F63633" w:rsidP="00F63633">
            <w:pPr>
              <w:spacing w:line="259" w:lineRule="auto"/>
              <w:ind w:firstLine="0"/>
              <w:contextualSpacing w:val="0"/>
              <w:jc w:val="left"/>
            </w:pPr>
            <w:r w:rsidRPr="00F63633">
              <w:t>0.07</w:t>
            </w:r>
          </w:p>
        </w:tc>
        <w:tc>
          <w:tcPr>
            <w:tcW w:w="1736" w:type="dxa"/>
            <w:shd w:val="clear" w:color="auto" w:fill="E7E6E6" w:themeFill="background2"/>
            <w:noWrap/>
            <w:hideMark/>
          </w:tcPr>
          <w:p w14:paraId="649A9DF2" w14:textId="77777777" w:rsidR="00F63633" w:rsidRPr="00F63633" w:rsidRDefault="00F63633" w:rsidP="00F63633">
            <w:pPr>
              <w:spacing w:line="259" w:lineRule="auto"/>
              <w:ind w:firstLine="0"/>
              <w:contextualSpacing w:val="0"/>
              <w:jc w:val="left"/>
            </w:pPr>
            <w:r w:rsidRPr="00F63633">
              <w:t>0.11</w:t>
            </w:r>
          </w:p>
        </w:tc>
        <w:tc>
          <w:tcPr>
            <w:tcW w:w="2030" w:type="dxa"/>
            <w:shd w:val="clear" w:color="auto" w:fill="E7E6E6" w:themeFill="background2"/>
            <w:noWrap/>
            <w:hideMark/>
          </w:tcPr>
          <w:p w14:paraId="1AAA40E8" w14:textId="77777777" w:rsidR="00F63633" w:rsidRPr="00F63633" w:rsidRDefault="00F63633" w:rsidP="00F63633">
            <w:pPr>
              <w:spacing w:line="259" w:lineRule="auto"/>
              <w:ind w:firstLine="0"/>
              <w:contextualSpacing w:val="0"/>
              <w:jc w:val="left"/>
            </w:pPr>
            <w:r w:rsidRPr="00F63633">
              <w:t>0.38</w:t>
            </w:r>
          </w:p>
        </w:tc>
        <w:tc>
          <w:tcPr>
            <w:tcW w:w="2030" w:type="dxa"/>
            <w:shd w:val="clear" w:color="auto" w:fill="E7E6E6" w:themeFill="background2"/>
            <w:noWrap/>
            <w:hideMark/>
          </w:tcPr>
          <w:p w14:paraId="1088BEA7" w14:textId="77777777" w:rsidR="00F63633" w:rsidRPr="00F63633" w:rsidRDefault="00F63633" w:rsidP="00F63633">
            <w:pPr>
              <w:spacing w:line="259" w:lineRule="auto"/>
              <w:ind w:firstLine="0"/>
              <w:contextualSpacing w:val="0"/>
              <w:jc w:val="left"/>
            </w:pPr>
            <w:r w:rsidRPr="00F63633">
              <w:t>-0.08</w:t>
            </w:r>
          </w:p>
        </w:tc>
      </w:tr>
      <w:tr w:rsidR="00F63633" w:rsidRPr="00F63633" w14:paraId="4AC7CBF9" w14:textId="77777777" w:rsidTr="00091D77">
        <w:trPr>
          <w:gridAfter w:val="1"/>
          <w:wAfter w:w="165" w:type="dxa"/>
          <w:trHeight w:val="302"/>
        </w:trPr>
        <w:tc>
          <w:tcPr>
            <w:tcW w:w="1183" w:type="dxa"/>
            <w:noWrap/>
            <w:hideMark/>
          </w:tcPr>
          <w:p w14:paraId="45E31C23" w14:textId="77777777" w:rsidR="00F63633" w:rsidRPr="00F63633" w:rsidRDefault="00F63633" w:rsidP="00F63633">
            <w:pPr>
              <w:spacing w:line="259" w:lineRule="auto"/>
              <w:ind w:firstLine="0"/>
              <w:contextualSpacing w:val="0"/>
              <w:jc w:val="left"/>
            </w:pPr>
            <w:r w:rsidRPr="00F63633">
              <w:t>PER</w:t>
            </w:r>
          </w:p>
        </w:tc>
        <w:tc>
          <w:tcPr>
            <w:tcW w:w="1856" w:type="dxa"/>
            <w:noWrap/>
            <w:hideMark/>
          </w:tcPr>
          <w:p w14:paraId="34BB350B" w14:textId="77777777" w:rsidR="00F63633" w:rsidRPr="00F63633" w:rsidRDefault="00F63633" w:rsidP="00F63633">
            <w:pPr>
              <w:spacing w:line="259" w:lineRule="auto"/>
              <w:ind w:firstLine="0"/>
              <w:contextualSpacing w:val="0"/>
              <w:jc w:val="left"/>
            </w:pPr>
            <w:r w:rsidRPr="00F63633">
              <w:t>D1B-Diff</w:t>
            </w:r>
          </w:p>
        </w:tc>
        <w:tc>
          <w:tcPr>
            <w:tcW w:w="1719" w:type="dxa"/>
            <w:noWrap/>
            <w:hideMark/>
          </w:tcPr>
          <w:p w14:paraId="0CEEC808" w14:textId="77777777" w:rsidR="00F63633" w:rsidRPr="00F63633" w:rsidRDefault="00F63633" w:rsidP="00F63633">
            <w:pPr>
              <w:spacing w:line="259" w:lineRule="auto"/>
              <w:ind w:firstLine="0"/>
              <w:contextualSpacing w:val="0"/>
              <w:jc w:val="left"/>
            </w:pPr>
            <w:r w:rsidRPr="00F63633">
              <w:t>CFQ</w:t>
            </w:r>
          </w:p>
        </w:tc>
        <w:tc>
          <w:tcPr>
            <w:tcW w:w="1984" w:type="dxa"/>
            <w:tcBorders>
              <w:right w:val="single" w:sz="4" w:space="0" w:color="auto"/>
            </w:tcBorders>
            <w:noWrap/>
            <w:hideMark/>
          </w:tcPr>
          <w:p w14:paraId="3F7C9700" w14:textId="77777777" w:rsidR="00F63633" w:rsidRPr="00F63633" w:rsidRDefault="00F63633" w:rsidP="00F63633">
            <w:pPr>
              <w:spacing w:line="259" w:lineRule="auto"/>
              <w:ind w:firstLine="0"/>
              <w:contextualSpacing w:val="0"/>
              <w:jc w:val="left"/>
            </w:pPr>
            <w:r w:rsidRPr="00F63633">
              <w:t>Anxiety</w:t>
            </w:r>
          </w:p>
        </w:tc>
        <w:tc>
          <w:tcPr>
            <w:tcW w:w="1505" w:type="dxa"/>
            <w:tcBorders>
              <w:left w:val="single" w:sz="4" w:space="0" w:color="auto"/>
            </w:tcBorders>
            <w:noWrap/>
            <w:hideMark/>
          </w:tcPr>
          <w:p w14:paraId="29B9A867" w14:textId="77777777" w:rsidR="00F63633" w:rsidRPr="00F63633" w:rsidRDefault="00F63633" w:rsidP="00F63633">
            <w:pPr>
              <w:spacing w:line="259" w:lineRule="auto"/>
              <w:ind w:firstLine="0"/>
              <w:contextualSpacing w:val="0"/>
              <w:jc w:val="left"/>
            </w:pPr>
            <w:r w:rsidRPr="00F63633">
              <w:t>0.18</w:t>
            </w:r>
          </w:p>
        </w:tc>
        <w:tc>
          <w:tcPr>
            <w:tcW w:w="1736" w:type="dxa"/>
            <w:noWrap/>
            <w:hideMark/>
          </w:tcPr>
          <w:p w14:paraId="527E433F" w14:textId="77777777" w:rsidR="00F63633" w:rsidRPr="00F63633" w:rsidRDefault="00F63633" w:rsidP="00F63633">
            <w:pPr>
              <w:spacing w:line="259" w:lineRule="auto"/>
              <w:ind w:firstLine="0"/>
              <w:contextualSpacing w:val="0"/>
              <w:jc w:val="left"/>
            </w:pPr>
            <w:r w:rsidRPr="00F63633">
              <w:t>0.29</w:t>
            </w:r>
          </w:p>
        </w:tc>
        <w:tc>
          <w:tcPr>
            <w:tcW w:w="2030" w:type="dxa"/>
            <w:noWrap/>
            <w:hideMark/>
          </w:tcPr>
          <w:p w14:paraId="50E69AD5" w14:textId="77777777" w:rsidR="00F63633" w:rsidRPr="00F63633" w:rsidRDefault="00F63633" w:rsidP="00F63633">
            <w:pPr>
              <w:spacing w:line="259" w:lineRule="auto"/>
              <w:ind w:firstLine="0"/>
              <w:contextualSpacing w:val="0"/>
              <w:jc w:val="left"/>
            </w:pPr>
            <w:r w:rsidRPr="00F63633">
              <w:t>1.09</w:t>
            </w:r>
          </w:p>
        </w:tc>
        <w:tc>
          <w:tcPr>
            <w:tcW w:w="2030" w:type="dxa"/>
            <w:noWrap/>
            <w:hideMark/>
          </w:tcPr>
          <w:p w14:paraId="39CEBA24" w14:textId="77777777" w:rsidR="00F63633" w:rsidRPr="00F63633" w:rsidRDefault="00F63633" w:rsidP="00F63633">
            <w:pPr>
              <w:spacing w:line="259" w:lineRule="auto"/>
              <w:ind w:firstLine="0"/>
              <w:contextualSpacing w:val="0"/>
              <w:jc w:val="left"/>
            </w:pPr>
            <w:r w:rsidRPr="00F63633">
              <w:t>-0.22</w:t>
            </w:r>
          </w:p>
        </w:tc>
      </w:tr>
      <w:tr w:rsidR="00F63633" w:rsidRPr="00F63633" w14:paraId="12CA387B" w14:textId="77777777" w:rsidTr="00091D77">
        <w:trPr>
          <w:gridAfter w:val="1"/>
          <w:wAfter w:w="165" w:type="dxa"/>
          <w:trHeight w:val="302"/>
        </w:trPr>
        <w:tc>
          <w:tcPr>
            <w:tcW w:w="1183" w:type="dxa"/>
            <w:shd w:val="clear" w:color="auto" w:fill="E7E6E6" w:themeFill="background2"/>
            <w:noWrap/>
            <w:hideMark/>
          </w:tcPr>
          <w:p w14:paraId="6DE8E193" w14:textId="77777777" w:rsidR="00F63633" w:rsidRPr="00F63633" w:rsidRDefault="00F63633" w:rsidP="00F63633">
            <w:pPr>
              <w:spacing w:line="259" w:lineRule="auto"/>
              <w:ind w:firstLine="0"/>
              <w:contextualSpacing w:val="0"/>
              <w:jc w:val="left"/>
            </w:pPr>
            <w:r w:rsidRPr="00F63633">
              <w:t>PER</w:t>
            </w:r>
          </w:p>
        </w:tc>
        <w:tc>
          <w:tcPr>
            <w:tcW w:w="1856" w:type="dxa"/>
            <w:shd w:val="clear" w:color="auto" w:fill="E7E6E6" w:themeFill="background2"/>
            <w:noWrap/>
            <w:hideMark/>
          </w:tcPr>
          <w:p w14:paraId="1A22C79B" w14:textId="77777777" w:rsidR="00F63633" w:rsidRPr="00F63633" w:rsidRDefault="00F63633" w:rsidP="00F63633">
            <w:pPr>
              <w:spacing w:line="259" w:lineRule="auto"/>
              <w:ind w:firstLine="0"/>
              <w:contextualSpacing w:val="0"/>
              <w:jc w:val="left"/>
            </w:pPr>
            <w:r w:rsidRPr="00F63633">
              <w:t>D1B-Diff</w:t>
            </w:r>
          </w:p>
        </w:tc>
        <w:tc>
          <w:tcPr>
            <w:tcW w:w="1719" w:type="dxa"/>
            <w:shd w:val="clear" w:color="auto" w:fill="E7E6E6" w:themeFill="background2"/>
            <w:noWrap/>
            <w:hideMark/>
          </w:tcPr>
          <w:p w14:paraId="43503AE2" w14:textId="77777777" w:rsidR="00F63633" w:rsidRPr="00F63633" w:rsidRDefault="00F63633" w:rsidP="00F63633">
            <w:pPr>
              <w:spacing w:line="259" w:lineRule="auto"/>
              <w:ind w:firstLine="0"/>
              <w:contextualSpacing w:val="0"/>
              <w:jc w:val="left"/>
            </w:pPr>
            <w:r w:rsidRPr="00F63633">
              <w:t>Worry</w:t>
            </w:r>
          </w:p>
        </w:tc>
        <w:tc>
          <w:tcPr>
            <w:tcW w:w="1984" w:type="dxa"/>
            <w:tcBorders>
              <w:right w:val="single" w:sz="4" w:space="0" w:color="auto"/>
            </w:tcBorders>
            <w:shd w:val="clear" w:color="auto" w:fill="E7E6E6" w:themeFill="background2"/>
            <w:noWrap/>
            <w:hideMark/>
          </w:tcPr>
          <w:p w14:paraId="77EFC511" w14:textId="77777777" w:rsidR="00F63633" w:rsidRPr="00F63633" w:rsidRDefault="00F63633" w:rsidP="00F63633">
            <w:pPr>
              <w:spacing w:line="259" w:lineRule="auto"/>
              <w:ind w:firstLine="0"/>
              <w:contextualSpacing w:val="0"/>
              <w:jc w:val="left"/>
            </w:pPr>
            <w:r w:rsidRPr="00F63633">
              <w:t>Depression</w:t>
            </w:r>
          </w:p>
        </w:tc>
        <w:tc>
          <w:tcPr>
            <w:tcW w:w="1505" w:type="dxa"/>
            <w:tcBorders>
              <w:left w:val="single" w:sz="4" w:space="0" w:color="auto"/>
            </w:tcBorders>
            <w:shd w:val="clear" w:color="auto" w:fill="E7E6E6" w:themeFill="background2"/>
            <w:noWrap/>
            <w:hideMark/>
          </w:tcPr>
          <w:p w14:paraId="44681CA1" w14:textId="77777777" w:rsidR="00F63633" w:rsidRPr="00F63633" w:rsidRDefault="00F63633" w:rsidP="00F63633">
            <w:pPr>
              <w:spacing w:line="259" w:lineRule="auto"/>
              <w:ind w:firstLine="0"/>
              <w:contextualSpacing w:val="0"/>
              <w:jc w:val="left"/>
            </w:pPr>
            <w:r w:rsidRPr="00F63633">
              <w:t>0.03</w:t>
            </w:r>
          </w:p>
        </w:tc>
        <w:tc>
          <w:tcPr>
            <w:tcW w:w="1736" w:type="dxa"/>
            <w:shd w:val="clear" w:color="auto" w:fill="E7E6E6" w:themeFill="background2"/>
            <w:noWrap/>
            <w:hideMark/>
          </w:tcPr>
          <w:p w14:paraId="691F2547" w14:textId="77777777" w:rsidR="00F63633" w:rsidRPr="00F63633" w:rsidRDefault="00F63633" w:rsidP="00F63633">
            <w:pPr>
              <w:spacing w:line="259" w:lineRule="auto"/>
              <w:ind w:firstLine="0"/>
              <w:contextualSpacing w:val="0"/>
              <w:jc w:val="left"/>
            </w:pPr>
            <w:r w:rsidRPr="00F63633">
              <w:t>0.06</w:t>
            </w:r>
          </w:p>
        </w:tc>
        <w:tc>
          <w:tcPr>
            <w:tcW w:w="2030" w:type="dxa"/>
            <w:shd w:val="clear" w:color="auto" w:fill="E7E6E6" w:themeFill="background2"/>
            <w:noWrap/>
            <w:hideMark/>
          </w:tcPr>
          <w:p w14:paraId="6AE5F7FF" w14:textId="77777777" w:rsidR="00F63633" w:rsidRPr="00F63633" w:rsidRDefault="00F63633" w:rsidP="00F63633">
            <w:pPr>
              <w:spacing w:line="259" w:lineRule="auto"/>
              <w:ind w:firstLine="0"/>
              <w:contextualSpacing w:val="0"/>
              <w:jc w:val="left"/>
            </w:pPr>
            <w:r w:rsidRPr="00F63633">
              <w:t>0.25</w:t>
            </w:r>
          </w:p>
        </w:tc>
        <w:tc>
          <w:tcPr>
            <w:tcW w:w="2030" w:type="dxa"/>
            <w:shd w:val="clear" w:color="auto" w:fill="E7E6E6" w:themeFill="background2"/>
            <w:noWrap/>
            <w:hideMark/>
          </w:tcPr>
          <w:p w14:paraId="1367DE5C" w14:textId="77777777" w:rsidR="00F63633" w:rsidRPr="00F63633" w:rsidRDefault="00F63633" w:rsidP="00F63633">
            <w:pPr>
              <w:spacing w:line="259" w:lineRule="auto"/>
              <w:ind w:firstLine="0"/>
              <w:contextualSpacing w:val="0"/>
              <w:jc w:val="left"/>
            </w:pPr>
            <w:r w:rsidRPr="00F63633">
              <w:t>-0.03</w:t>
            </w:r>
          </w:p>
        </w:tc>
      </w:tr>
      <w:tr w:rsidR="00F63633" w:rsidRPr="00F63633" w14:paraId="1446B80E" w14:textId="77777777" w:rsidTr="00091D77">
        <w:trPr>
          <w:gridAfter w:val="1"/>
          <w:wAfter w:w="165" w:type="dxa"/>
          <w:trHeight w:val="302"/>
        </w:trPr>
        <w:tc>
          <w:tcPr>
            <w:tcW w:w="1183" w:type="dxa"/>
            <w:noWrap/>
            <w:hideMark/>
          </w:tcPr>
          <w:p w14:paraId="72E57DFA" w14:textId="77777777" w:rsidR="00F63633" w:rsidRPr="00F63633" w:rsidRDefault="00F63633" w:rsidP="00F63633">
            <w:pPr>
              <w:spacing w:line="259" w:lineRule="auto"/>
              <w:ind w:firstLine="0"/>
              <w:contextualSpacing w:val="0"/>
              <w:jc w:val="left"/>
            </w:pPr>
            <w:r w:rsidRPr="00F63633">
              <w:t>PER</w:t>
            </w:r>
          </w:p>
        </w:tc>
        <w:tc>
          <w:tcPr>
            <w:tcW w:w="1856" w:type="dxa"/>
            <w:noWrap/>
            <w:hideMark/>
          </w:tcPr>
          <w:p w14:paraId="691EE1F8" w14:textId="77777777" w:rsidR="00F63633" w:rsidRPr="00F63633" w:rsidRDefault="00F63633" w:rsidP="00F63633">
            <w:pPr>
              <w:spacing w:line="259" w:lineRule="auto"/>
              <w:ind w:firstLine="0"/>
              <w:contextualSpacing w:val="0"/>
              <w:jc w:val="left"/>
            </w:pPr>
            <w:r w:rsidRPr="00F63633">
              <w:t>D1B-Diff</w:t>
            </w:r>
          </w:p>
        </w:tc>
        <w:tc>
          <w:tcPr>
            <w:tcW w:w="1719" w:type="dxa"/>
            <w:noWrap/>
            <w:hideMark/>
          </w:tcPr>
          <w:p w14:paraId="60CFD490" w14:textId="77777777" w:rsidR="00F63633" w:rsidRPr="00F63633" w:rsidRDefault="00F63633" w:rsidP="00F63633">
            <w:pPr>
              <w:spacing w:line="259" w:lineRule="auto"/>
              <w:ind w:firstLine="0"/>
              <w:contextualSpacing w:val="0"/>
              <w:jc w:val="left"/>
            </w:pPr>
            <w:r w:rsidRPr="00F63633">
              <w:t>Worry</w:t>
            </w:r>
          </w:p>
        </w:tc>
        <w:tc>
          <w:tcPr>
            <w:tcW w:w="1984" w:type="dxa"/>
            <w:tcBorders>
              <w:right w:val="single" w:sz="4" w:space="0" w:color="auto"/>
            </w:tcBorders>
            <w:noWrap/>
            <w:hideMark/>
          </w:tcPr>
          <w:p w14:paraId="201A809D" w14:textId="77777777" w:rsidR="00F63633" w:rsidRPr="00F63633" w:rsidRDefault="00F63633" w:rsidP="00F63633">
            <w:pPr>
              <w:spacing w:line="259" w:lineRule="auto"/>
              <w:ind w:firstLine="0"/>
              <w:contextualSpacing w:val="0"/>
              <w:jc w:val="left"/>
            </w:pPr>
            <w:r w:rsidRPr="00F63633">
              <w:t>Anxiety</w:t>
            </w:r>
          </w:p>
        </w:tc>
        <w:tc>
          <w:tcPr>
            <w:tcW w:w="1505" w:type="dxa"/>
            <w:tcBorders>
              <w:left w:val="single" w:sz="4" w:space="0" w:color="auto"/>
            </w:tcBorders>
            <w:noWrap/>
            <w:hideMark/>
          </w:tcPr>
          <w:p w14:paraId="33C4DAE2" w14:textId="77777777" w:rsidR="00F63633" w:rsidRPr="00F63633" w:rsidRDefault="00F63633" w:rsidP="00F63633">
            <w:pPr>
              <w:spacing w:line="259" w:lineRule="auto"/>
              <w:ind w:firstLine="0"/>
              <w:contextualSpacing w:val="0"/>
              <w:jc w:val="left"/>
            </w:pPr>
            <w:r w:rsidRPr="00F63633">
              <w:t>0.07</w:t>
            </w:r>
          </w:p>
        </w:tc>
        <w:tc>
          <w:tcPr>
            <w:tcW w:w="1736" w:type="dxa"/>
            <w:noWrap/>
            <w:hideMark/>
          </w:tcPr>
          <w:p w14:paraId="220DCD65" w14:textId="77777777" w:rsidR="00F63633" w:rsidRPr="00F63633" w:rsidRDefault="00F63633" w:rsidP="00F63633">
            <w:pPr>
              <w:spacing w:line="259" w:lineRule="auto"/>
              <w:ind w:firstLine="0"/>
              <w:contextualSpacing w:val="0"/>
              <w:jc w:val="left"/>
            </w:pPr>
            <w:r w:rsidRPr="00F63633">
              <w:t>0.14</w:t>
            </w:r>
          </w:p>
        </w:tc>
        <w:tc>
          <w:tcPr>
            <w:tcW w:w="2030" w:type="dxa"/>
            <w:noWrap/>
            <w:hideMark/>
          </w:tcPr>
          <w:p w14:paraId="068D6580" w14:textId="77777777" w:rsidR="00F63633" w:rsidRPr="00F63633" w:rsidRDefault="00F63633" w:rsidP="00F63633">
            <w:pPr>
              <w:spacing w:line="259" w:lineRule="auto"/>
              <w:ind w:firstLine="0"/>
              <w:contextualSpacing w:val="0"/>
              <w:jc w:val="left"/>
            </w:pPr>
            <w:r w:rsidRPr="00F63633">
              <w:t>0.55</w:t>
            </w:r>
          </w:p>
        </w:tc>
        <w:tc>
          <w:tcPr>
            <w:tcW w:w="2030" w:type="dxa"/>
            <w:noWrap/>
            <w:hideMark/>
          </w:tcPr>
          <w:p w14:paraId="797B8FC0" w14:textId="77777777" w:rsidR="00F63633" w:rsidRPr="00F63633" w:rsidRDefault="00F63633" w:rsidP="00F63633">
            <w:pPr>
              <w:spacing w:line="259" w:lineRule="auto"/>
              <w:ind w:firstLine="0"/>
              <w:contextualSpacing w:val="0"/>
              <w:jc w:val="left"/>
            </w:pPr>
            <w:r w:rsidRPr="00F63633">
              <w:t>-0.09</w:t>
            </w:r>
          </w:p>
        </w:tc>
      </w:tr>
    </w:tbl>
    <w:p w14:paraId="16E5DDE2" w14:textId="77777777" w:rsidR="000F0EBA" w:rsidRDefault="000F0EBA" w:rsidP="00B7463D">
      <w:pPr>
        <w:spacing w:line="259" w:lineRule="auto"/>
        <w:ind w:firstLine="0"/>
        <w:contextualSpacing w:val="0"/>
        <w:jc w:val="left"/>
      </w:pPr>
    </w:p>
    <w:p w14:paraId="7930EF2A" w14:textId="77777777" w:rsidR="000F0EBA" w:rsidRDefault="000F0EBA" w:rsidP="00B7463D">
      <w:pPr>
        <w:spacing w:line="259" w:lineRule="auto"/>
        <w:ind w:firstLine="0"/>
        <w:contextualSpacing w:val="0"/>
        <w:jc w:val="left"/>
      </w:pPr>
    </w:p>
    <w:p w14:paraId="214353EB" w14:textId="5B7A0BC9" w:rsidR="00B7463D" w:rsidRDefault="00B7463D" w:rsidP="000F0EBA">
      <w:pPr>
        <w:spacing w:line="259" w:lineRule="auto"/>
        <w:ind w:firstLine="0"/>
        <w:contextualSpacing w:val="0"/>
        <w:jc w:val="left"/>
      </w:pPr>
    </w:p>
    <w:sectPr w:rsidR="00B7463D" w:rsidSect="00B7463D">
      <w:pgSz w:w="16838" w:h="11906" w:orient="landscape"/>
      <w:pgMar w:top="1440" w:right="1440" w:bottom="1440"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A862E" w14:textId="77777777" w:rsidR="001E01AF" w:rsidRDefault="001E01AF" w:rsidP="00354C6E">
      <w:r>
        <w:separator/>
      </w:r>
    </w:p>
  </w:endnote>
  <w:endnote w:type="continuationSeparator" w:id="0">
    <w:p w14:paraId="54920C87" w14:textId="77777777" w:rsidR="001E01AF" w:rsidRDefault="001E01AF" w:rsidP="00354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68117"/>
      <w:docPartObj>
        <w:docPartGallery w:val="Page Numbers (Bottom of Page)"/>
        <w:docPartUnique/>
      </w:docPartObj>
    </w:sdtPr>
    <w:sdtEndPr>
      <w:rPr>
        <w:noProof/>
      </w:rPr>
    </w:sdtEndPr>
    <w:sdtContent>
      <w:p w14:paraId="58829824" w14:textId="1A896305" w:rsidR="00503D82" w:rsidRDefault="00503D82" w:rsidP="00354C6E">
        <w:pPr>
          <w:pStyle w:val="Footer"/>
        </w:pPr>
        <w:r>
          <w:fldChar w:fldCharType="begin"/>
        </w:r>
        <w:r>
          <w:instrText xml:space="preserve"> PAGE   \* MERGEFORMAT </w:instrText>
        </w:r>
        <w:r>
          <w:fldChar w:fldCharType="separate"/>
        </w:r>
        <w:r>
          <w:rPr>
            <w:noProof/>
          </w:rPr>
          <w:t>1</w:t>
        </w:r>
        <w:r>
          <w:rPr>
            <w:noProof/>
          </w:rPr>
          <w:fldChar w:fldCharType="end"/>
        </w:r>
      </w:p>
    </w:sdtContent>
  </w:sdt>
  <w:p w14:paraId="39E0B8F4" w14:textId="77777777" w:rsidR="00503D82" w:rsidRDefault="00503D82" w:rsidP="00354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5D98E" w14:textId="77777777" w:rsidR="001E01AF" w:rsidRDefault="001E01AF" w:rsidP="00354C6E">
      <w:r>
        <w:separator/>
      </w:r>
    </w:p>
  </w:footnote>
  <w:footnote w:type="continuationSeparator" w:id="0">
    <w:p w14:paraId="6B45E2BD" w14:textId="77777777" w:rsidR="001E01AF" w:rsidRDefault="001E01AF" w:rsidP="00354C6E">
      <w:r>
        <w:continuationSeparator/>
      </w:r>
    </w:p>
  </w:footnote>
  <w:footnote w:id="1">
    <w:p w14:paraId="0655C22A" w14:textId="77777777" w:rsidR="00503D82" w:rsidRDefault="00503D82" w:rsidP="00354C6E">
      <w:pPr>
        <w:pStyle w:val="FootnoteText"/>
      </w:pPr>
      <w:r>
        <w:rPr>
          <w:rStyle w:val="FootnoteReference"/>
        </w:rPr>
        <w:footnoteRef/>
      </w:r>
      <w:r>
        <w:t xml:space="preserve"> To identify outliers based on their deviation from the mean, RTs were log transformed for normality before calculating standard-deviations. Cut-offs were selected a priori based on </w:t>
      </w:r>
      <w:r>
        <w:fldChar w:fldCharType="begin"/>
      </w:r>
      <w:r>
        <w:instrText>ADDIN RW.CITE{{doc:5b18d4c8e4b0cd38cdfa6a1a Price,RebeccaB2015fk  ~f~k; doc:5b18d4d3e4b0cd38cdfa6d2c 2898Zvielli,Ariel2015fk  ~f~k}}</w:instrText>
      </w:r>
      <w:r>
        <w:fldChar w:fldCharType="separate"/>
      </w:r>
      <w:r w:rsidRPr="002100FC">
        <w:t>(Price et al., 2015; Zvielli, Bernstein, &amp; Koster, 2015)</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90AC6" w14:textId="6040F304" w:rsidR="00503D82" w:rsidRPr="0089178A" w:rsidRDefault="00503D82" w:rsidP="00445404">
    <w:pPr>
      <w:pStyle w:val="Header"/>
      <w:ind w:firstLine="0"/>
      <w:rPr>
        <w:lang w:val="en-IL"/>
      </w:rPr>
    </w:pPr>
    <w:r>
      <w:t>RUNNING HEAD: INTERNAL ATTENTIONAL DYSCONTROL</w:t>
    </w:r>
    <w:r w:rsidR="00445404">
      <w:rPr>
        <w:lang w:val="en-IL"/>
      </w:rPr>
      <w:t xml:space="preserve"> - SUPPLEMENT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5D6"/>
    <w:rsid w:val="0000532D"/>
    <w:rsid w:val="000053D9"/>
    <w:rsid w:val="000107F0"/>
    <w:rsid w:val="0006569B"/>
    <w:rsid w:val="00074EEF"/>
    <w:rsid w:val="00091D77"/>
    <w:rsid w:val="00092597"/>
    <w:rsid w:val="00092C32"/>
    <w:rsid w:val="000A3512"/>
    <w:rsid w:val="000B1C8A"/>
    <w:rsid w:val="000C3ABA"/>
    <w:rsid w:val="000D1F55"/>
    <w:rsid w:val="000D63BC"/>
    <w:rsid w:val="000E2142"/>
    <w:rsid w:val="000E4193"/>
    <w:rsid w:val="000E59D7"/>
    <w:rsid w:val="000F0EBA"/>
    <w:rsid w:val="000F2D0B"/>
    <w:rsid w:val="00102201"/>
    <w:rsid w:val="0010700B"/>
    <w:rsid w:val="0011762B"/>
    <w:rsid w:val="001222D3"/>
    <w:rsid w:val="00136805"/>
    <w:rsid w:val="0014023C"/>
    <w:rsid w:val="00141EF7"/>
    <w:rsid w:val="00143B2C"/>
    <w:rsid w:val="00155CFD"/>
    <w:rsid w:val="001601D7"/>
    <w:rsid w:val="001624C5"/>
    <w:rsid w:val="00170D44"/>
    <w:rsid w:val="00177540"/>
    <w:rsid w:val="0018316C"/>
    <w:rsid w:val="00185D25"/>
    <w:rsid w:val="00194A48"/>
    <w:rsid w:val="00197645"/>
    <w:rsid w:val="00197E7B"/>
    <w:rsid w:val="001E01AF"/>
    <w:rsid w:val="001E4D1B"/>
    <w:rsid w:val="001E52E0"/>
    <w:rsid w:val="00203A4B"/>
    <w:rsid w:val="00206DD5"/>
    <w:rsid w:val="002100FC"/>
    <w:rsid w:val="00213BCF"/>
    <w:rsid w:val="00216F1B"/>
    <w:rsid w:val="00217CDF"/>
    <w:rsid w:val="00224C28"/>
    <w:rsid w:val="0023021C"/>
    <w:rsid w:val="00230ABC"/>
    <w:rsid w:val="00242A63"/>
    <w:rsid w:val="0024372F"/>
    <w:rsid w:val="002439D2"/>
    <w:rsid w:val="00246D18"/>
    <w:rsid w:val="00251621"/>
    <w:rsid w:val="002610AA"/>
    <w:rsid w:val="002768B6"/>
    <w:rsid w:val="002A1EF3"/>
    <w:rsid w:val="002A5571"/>
    <w:rsid w:val="002A68FD"/>
    <w:rsid w:val="002C3CE5"/>
    <w:rsid w:val="002D0E74"/>
    <w:rsid w:val="002D65F6"/>
    <w:rsid w:val="002D794F"/>
    <w:rsid w:val="002F2E45"/>
    <w:rsid w:val="00305EF1"/>
    <w:rsid w:val="00310259"/>
    <w:rsid w:val="00315215"/>
    <w:rsid w:val="0031559B"/>
    <w:rsid w:val="00331424"/>
    <w:rsid w:val="00333060"/>
    <w:rsid w:val="00354C6E"/>
    <w:rsid w:val="003612FC"/>
    <w:rsid w:val="00366582"/>
    <w:rsid w:val="00373364"/>
    <w:rsid w:val="00374F65"/>
    <w:rsid w:val="00381BC6"/>
    <w:rsid w:val="003962A1"/>
    <w:rsid w:val="00396FBD"/>
    <w:rsid w:val="003A48B1"/>
    <w:rsid w:val="003A7161"/>
    <w:rsid w:val="003C1A84"/>
    <w:rsid w:val="003C2A63"/>
    <w:rsid w:val="003D7E8C"/>
    <w:rsid w:val="004011F8"/>
    <w:rsid w:val="00406A66"/>
    <w:rsid w:val="00410CF0"/>
    <w:rsid w:val="00417106"/>
    <w:rsid w:val="00422384"/>
    <w:rsid w:val="004236D6"/>
    <w:rsid w:val="00445404"/>
    <w:rsid w:val="0045294F"/>
    <w:rsid w:val="00452B72"/>
    <w:rsid w:val="004570F3"/>
    <w:rsid w:val="00457599"/>
    <w:rsid w:val="00464518"/>
    <w:rsid w:val="00464733"/>
    <w:rsid w:val="004724E5"/>
    <w:rsid w:val="0047473C"/>
    <w:rsid w:val="00477A01"/>
    <w:rsid w:val="004A470B"/>
    <w:rsid w:val="004A76D4"/>
    <w:rsid w:val="004C1371"/>
    <w:rsid w:val="004C17D0"/>
    <w:rsid w:val="004C2770"/>
    <w:rsid w:val="004D640E"/>
    <w:rsid w:val="004F0847"/>
    <w:rsid w:val="004F673A"/>
    <w:rsid w:val="005013DC"/>
    <w:rsid w:val="00503D82"/>
    <w:rsid w:val="00510370"/>
    <w:rsid w:val="00510C01"/>
    <w:rsid w:val="00510FA1"/>
    <w:rsid w:val="00523556"/>
    <w:rsid w:val="00530EDC"/>
    <w:rsid w:val="005349F3"/>
    <w:rsid w:val="00537808"/>
    <w:rsid w:val="005402EC"/>
    <w:rsid w:val="0054550B"/>
    <w:rsid w:val="005473D4"/>
    <w:rsid w:val="00563500"/>
    <w:rsid w:val="00572F88"/>
    <w:rsid w:val="0057611B"/>
    <w:rsid w:val="00584B42"/>
    <w:rsid w:val="005A20AA"/>
    <w:rsid w:val="005A2489"/>
    <w:rsid w:val="005A3E85"/>
    <w:rsid w:val="005A4DB6"/>
    <w:rsid w:val="005B3C79"/>
    <w:rsid w:val="005C1058"/>
    <w:rsid w:val="005C4574"/>
    <w:rsid w:val="005C7B62"/>
    <w:rsid w:val="005D36F6"/>
    <w:rsid w:val="005E1FDF"/>
    <w:rsid w:val="005E7D42"/>
    <w:rsid w:val="005F1E07"/>
    <w:rsid w:val="005F783F"/>
    <w:rsid w:val="0060203F"/>
    <w:rsid w:val="0060220D"/>
    <w:rsid w:val="006041A2"/>
    <w:rsid w:val="00606DBE"/>
    <w:rsid w:val="0061537E"/>
    <w:rsid w:val="00620869"/>
    <w:rsid w:val="00624C89"/>
    <w:rsid w:val="00634513"/>
    <w:rsid w:val="00646B09"/>
    <w:rsid w:val="00654A60"/>
    <w:rsid w:val="006565D3"/>
    <w:rsid w:val="006606C7"/>
    <w:rsid w:val="00665FA2"/>
    <w:rsid w:val="00691F4C"/>
    <w:rsid w:val="00693308"/>
    <w:rsid w:val="006943D1"/>
    <w:rsid w:val="006A5F62"/>
    <w:rsid w:val="006A7B2C"/>
    <w:rsid w:val="006A7CA3"/>
    <w:rsid w:val="006B0ED1"/>
    <w:rsid w:val="006B2680"/>
    <w:rsid w:val="006C7635"/>
    <w:rsid w:val="006D0A97"/>
    <w:rsid w:val="006D30D1"/>
    <w:rsid w:val="006D6103"/>
    <w:rsid w:val="0071282D"/>
    <w:rsid w:val="007201D1"/>
    <w:rsid w:val="0072194A"/>
    <w:rsid w:val="007234F5"/>
    <w:rsid w:val="007265F6"/>
    <w:rsid w:val="00734942"/>
    <w:rsid w:val="007634BA"/>
    <w:rsid w:val="00797FB1"/>
    <w:rsid w:val="007D7A1D"/>
    <w:rsid w:val="007E4549"/>
    <w:rsid w:val="007E625D"/>
    <w:rsid w:val="007F784F"/>
    <w:rsid w:val="00804C00"/>
    <w:rsid w:val="00805BB2"/>
    <w:rsid w:val="00812518"/>
    <w:rsid w:val="0081458D"/>
    <w:rsid w:val="0082438B"/>
    <w:rsid w:val="00825B10"/>
    <w:rsid w:val="00826F17"/>
    <w:rsid w:val="008416BC"/>
    <w:rsid w:val="008502F4"/>
    <w:rsid w:val="008567F0"/>
    <w:rsid w:val="00860C22"/>
    <w:rsid w:val="00864E71"/>
    <w:rsid w:val="00870451"/>
    <w:rsid w:val="00880B0E"/>
    <w:rsid w:val="00885F64"/>
    <w:rsid w:val="00887400"/>
    <w:rsid w:val="0089178A"/>
    <w:rsid w:val="008955B3"/>
    <w:rsid w:val="008A1C45"/>
    <w:rsid w:val="008A2332"/>
    <w:rsid w:val="008B52DB"/>
    <w:rsid w:val="008C13EF"/>
    <w:rsid w:val="008C7C2C"/>
    <w:rsid w:val="008D03FC"/>
    <w:rsid w:val="008F11F1"/>
    <w:rsid w:val="008F33EF"/>
    <w:rsid w:val="008F35E7"/>
    <w:rsid w:val="008F6EB5"/>
    <w:rsid w:val="00902E7A"/>
    <w:rsid w:val="00910D7E"/>
    <w:rsid w:val="009127B6"/>
    <w:rsid w:val="0091639A"/>
    <w:rsid w:val="009175C0"/>
    <w:rsid w:val="009245D6"/>
    <w:rsid w:val="0092514D"/>
    <w:rsid w:val="00944BF5"/>
    <w:rsid w:val="00952EC3"/>
    <w:rsid w:val="009716EC"/>
    <w:rsid w:val="0097306C"/>
    <w:rsid w:val="0098253A"/>
    <w:rsid w:val="00986A9B"/>
    <w:rsid w:val="009958D5"/>
    <w:rsid w:val="00996ACB"/>
    <w:rsid w:val="009A1BE5"/>
    <w:rsid w:val="009A40CA"/>
    <w:rsid w:val="009A65A3"/>
    <w:rsid w:val="009B1D55"/>
    <w:rsid w:val="009B5D3B"/>
    <w:rsid w:val="009C27ED"/>
    <w:rsid w:val="009C469A"/>
    <w:rsid w:val="009D6764"/>
    <w:rsid w:val="009F76E2"/>
    <w:rsid w:val="00A02BCA"/>
    <w:rsid w:val="00A038D5"/>
    <w:rsid w:val="00A06217"/>
    <w:rsid w:val="00A25A39"/>
    <w:rsid w:val="00A3123B"/>
    <w:rsid w:val="00A337FD"/>
    <w:rsid w:val="00A40830"/>
    <w:rsid w:val="00A41C2E"/>
    <w:rsid w:val="00A44221"/>
    <w:rsid w:val="00A47EEC"/>
    <w:rsid w:val="00A918C4"/>
    <w:rsid w:val="00A95453"/>
    <w:rsid w:val="00A95744"/>
    <w:rsid w:val="00AB528F"/>
    <w:rsid w:val="00AB7BAF"/>
    <w:rsid w:val="00AC1E59"/>
    <w:rsid w:val="00AE3D87"/>
    <w:rsid w:val="00AE7D2D"/>
    <w:rsid w:val="00AF1643"/>
    <w:rsid w:val="00AF380C"/>
    <w:rsid w:val="00AF4790"/>
    <w:rsid w:val="00AF6F9B"/>
    <w:rsid w:val="00B04F50"/>
    <w:rsid w:val="00B1617F"/>
    <w:rsid w:val="00B27BDA"/>
    <w:rsid w:val="00B37EA4"/>
    <w:rsid w:val="00B404E9"/>
    <w:rsid w:val="00B64A9A"/>
    <w:rsid w:val="00B7463D"/>
    <w:rsid w:val="00B7742E"/>
    <w:rsid w:val="00B8541D"/>
    <w:rsid w:val="00BA3645"/>
    <w:rsid w:val="00BB6BBB"/>
    <w:rsid w:val="00BC30E5"/>
    <w:rsid w:val="00BD2F12"/>
    <w:rsid w:val="00BD54E0"/>
    <w:rsid w:val="00BE3084"/>
    <w:rsid w:val="00BE6923"/>
    <w:rsid w:val="00BF0676"/>
    <w:rsid w:val="00BF164E"/>
    <w:rsid w:val="00BF25D4"/>
    <w:rsid w:val="00BF6A64"/>
    <w:rsid w:val="00C00DB8"/>
    <w:rsid w:val="00C05642"/>
    <w:rsid w:val="00C15641"/>
    <w:rsid w:val="00C60C47"/>
    <w:rsid w:val="00C63756"/>
    <w:rsid w:val="00C65E6E"/>
    <w:rsid w:val="00C82D4A"/>
    <w:rsid w:val="00C9268D"/>
    <w:rsid w:val="00C94E9A"/>
    <w:rsid w:val="00C955D1"/>
    <w:rsid w:val="00CA1854"/>
    <w:rsid w:val="00CA6EE4"/>
    <w:rsid w:val="00CA7258"/>
    <w:rsid w:val="00CB16C1"/>
    <w:rsid w:val="00CC2164"/>
    <w:rsid w:val="00CD292A"/>
    <w:rsid w:val="00CD2E53"/>
    <w:rsid w:val="00CD7CB6"/>
    <w:rsid w:val="00CE5688"/>
    <w:rsid w:val="00CF0E03"/>
    <w:rsid w:val="00D11C48"/>
    <w:rsid w:val="00D22145"/>
    <w:rsid w:val="00D24489"/>
    <w:rsid w:val="00D34539"/>
    <w:rsid w:val="00D46536"/>
    <w:rsid w:val="00D5401E"/>
    <w:rsid w:val="00D5490D"/>
    <w:rsid w:val="00D624D4"/>
    <w:rsid w:val="00D74770"/>
    <w:rsid w:val="00D757AD"/>
    <w:rsid w:val="00D81CE3"/>
    <w:rsid w:val="00D93144"/>
    <w:rsid w:val="00D9435F"/>
    <w:rsid w:val="00D965A0"/>
    <w:rsid w:val="00DA2076"/>
    <w:rsid w:val="00DA61A1"/>
    <w:rsid w:val="00DB0373"/>
    <w:rsid w:val="00DB4AD8"/>
    <w:rsid w:val="00DC70E7"/>
    <w:rsid w:val="00DD542F"/>
    <w:rsid w:val="00DE21C3"/>
    <w:rsid w:val="00DF4FC2"/>
    <w:rsid w:val="00E26607"/>
    <w:rsid w:val="00E314AB"/>
    <w:rsid w:val="00E32BD8"/>
    <w:rsid w:val="00E32F6F"/>
    <w:rsid w:val="00E51A7D"/>
    <w:rsid w:val="00E53A6D"/>
    <w:rsid w:val="00E61870"/>
    <w:rsid w:val="00E66FF7"/>
    <w:rsid w:val="00E753FA"/>
    <w:rsid w:val="00EA015D"/>
    <w:rsid w:val="00EA082F"/>
    <w:rsid w:val="00EA2BAD"/>
    <w:rsid w:val="00EA7C7D"/>
    <w:rsid w:val="00EC3B05"/>
    <w:rsid w:val="00ED124A"/>
    <w:rsid w:val="00ED1797"/>
    <w:rsid w:val="00ED34CF"/>
    <w:rsid w:val="00EF4C5E"/>
    <w:rsid w:val="00F0580B"/>
    <w:rsid w:val="00F130A1"/>
    <w:rsid w:val="00F15012"/>
    <w:rsid w:val="00F20436"/>
    <w:rsid w:val="00F43034"/>
    <w:rsid w:val="00F53D74"/>
    <w:rsid w:val="00F54FEE"/>
    <w:rsid w:val="00F56BAE"/>
    <w:rsid w:val="00F63633"/>
    <w:rsid w:val="00F70DA5"/>
    <w:rsid w:val="00F72778"/>
    <w:rsid w:val="00F805D5"/>
    <w:rsid w:val="00F85FAA"/>
    <w:rsid w:val="00F938E6"/>
    <w:rsid w:val="00F94F4B"/>
    <w:rsid w:val="00FA7BD8"/>
    <w:rsid w:val="00FB45FA"/>
    <w:rsid w:val="00FC4C58"/>
    <w:rsid w:val="00FD0E06"/>
    <w:rsid w:val="00FD5F38"/>
    <w:rsid w:val="00FD74C7"/>
    <w:rsid w:val="00FE02DA"/>
    <w:rsid w:val="00FF1B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6A079"/>
  <w15:chartTrackingRefBased/>
  <w15:docId w15:val="{59E7F7B9-5E54-4E86-B712-55A16652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C6E"/>
    <w:pPr>
      <w:spacing w:line="480" w:lineRule="auto"/>
      <w:ind w:firstLine="720"/>
      <w:contextualSpacing/>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354C6E"/>
    <w:pPr>
      <w:jc w:val="center"/>
      <w:outlineLvl w:val="0"/>
    </w:pPr>
    <w:rPr>
      <w:b/>
      <w:bCs/>
    </w:rPr>
  </w:style>
  <w:style w:type="paragraph" w:styleId="Heading2">
    <w:name w:val="heading 2"/>
    <w:basedOn w:val="Normal"/>
    <w:next w:val="Normal"/>
    <w:link w:val="Heading2Char"/>
    <w:uiPriority w:val="9"/>
    <w:unhideWhenUsed/>
    <w:qFormat/>
    <w:rsid w:val="00354C6E"/>
    <w:pPr>
      <w:ind w:firstLine="0"/>
      <w:outlineLvl w:val="1"/>
    </w:pPr>
    <w:rPr>
      <w:b/>
      <w:bCs/>
    </w:rPr>
  </w:style>
  <w:style w:type="paragraph" w:styleId="Heading3">
    <w:name w:val="heading 3"/>
    <w:basedOn w:val="Normal"/>
    <w:next w:val="Normal"/>
    <w:link w:val="Heading3Char"/>
    <w:uiPriority w:val="9"/>
    <w:unhideWhenUsed/>
    <w:qFormat/>
    <w:rsid w:val="00354C6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68FD"/>
    <w:rPr>
      <w:sz w:val="16"/>
      <w:szCs w:val="16"/>
    </w:rPr>
  </w:style>
  <w:style w:type="paragraph" w:styleId="CommentText">
    <w:name w:val="annotation text"/>
    <w:basedOn w:val="Normal"/>
    <w:link w:val="CommentTextChar"/>
    <w:uiPriority w:val="99"/>
    <w:semiHidden/>
    <w:unhideWhenUsed/>
    <w:rsid w:val="002A68FD"/>
    <w:pPr>
      <w:spacing w:line="240" w:lineRule="auto"/>
    </w:pPr>
    <w:rPr>
      <w:sz w:val="20"/>
      <w:szCs w:val="20"/>
    </w:rPr>
  </w:style>
  <w:style w:type="character" w:customStyle="1" w:styleId="CommentTextChar">
    <w:name w:val="Comment Text Char"/>
    <w:basedOn w:val="DefaultParagraphFont"/>
    <w:link w:val="CommentText"/>
    <w:uiPriority w:val="99"/>
    <w:semiHidden/>
    <w:rsid w:val="002A68FD"/>
    <w:rPr>
      <w:rFonts w:ascii="Times New Roman" w:hAnsi="Times New Roman" w:cs="Times New Roman"/>
      <w:sz w:val="20"/>
      <w:szCs w:val="20"/>
    </w:rPr>
  </w:style>
  <w:style w:type="paragraph" w:styleId="FootnoteText">
    <w:name w:val="footnote text"/>
    <w:basedOn w:val="Normal"/>
    <w:link w:val="FootnoteTextChar"/>
    <w:uiPriority w:val="99"/>
    <w:unhideWhenUsed/>
    <w:rsid w:val="002A68FD"/>
    <w:pPr>
      <w:spacing w:after="0" w:line="240" w:lineRule="auto"/>
    </w:pPr>
    <w:rPr>
      <w:sz w:val="20"/>
      <w:szCs w:val="20"/>
    </w:rPr>
  </w:style>
  <w:style w:type="character" w:customStyle="1" w:styleId="FootnoteTextChar">
    <w:name w:val="Footnote Text Char"/>
    <w:basedOn w:val="DefaultParagraphFont"/>
    <w:link w:val="FootnoteText"/>
    <w:uiPriority w:val="99"/>
    <w:rsid w:val="002A68FD"/>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2A68FD"/>
    <w:rPr>
      <w:vertAlign w:val="superscript"/>
    </w:rPr>
  </w:style>
  <w:style w:type="paragraph" w:styleId="BalloonText">
    <w:name w:val="Balloon Text"/>
    <w:basedOn w:val="Normal"/>
    <w:link w:val="BalloonTextChar"/>
    <w:uiPriority w:val="99"/>
    <w:semiHidden/>
    <w:unhideWhenUsed/>
    <w:rsid w:val="002A68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8FD"/>
    <w:rPr>
      <w:rFonts w:ascii="Segoe UI" w:hAnsi="Segoe UI" w:cs="Segoe UI"/>
      <w:sz w:val="18"/>
      <w:szCs w:val="18"/>
    </w:rPr>
  </w:style>
  <w:style w:type="table" w:styleId="TableGrid">
    <w:name w:val="Table Grid"/>
    <w:basedOn w:val="TableNormal"/>
    <w:uiPriority w:val="39"/>
    <w:rsid w:val="00E53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64E71"/>
    <w:pPr>
      <w:spacing w:before="100" w:beforeAutospacing="1" w:after="100" w:afterAutospacing="1" w:line="240" w:lineRule="auto"/>
    </w:pPr>
    <w:rPr>
      <w:rFonts w:eastAsiaTheme="minorEastAsia"/>
    </w:rPr>
  </w:style>
  <w:style w:type="paragraph" w:styleId="CommentSubject">
    <w:name w:val="annotation subject"/>
    <w:basedOn w:val="CommentText"/>
    <w:next w:val="CommentText"/>
    <w:link w:val="CommentSubjectChar"/>
    <w:uiPriority w:val="99"/>
    <w:semiHidden/>
    <w:unhideWhenUsed/>
    <w:rsid w:val="007234F5"/>
    <w:rPr>
      <w:b/>
      <w:bCs/>
    </w:rPr>
  </w:style>
  <w:style w:type="character" w:customStyle="1" w:styleId="CommentSubjectChar">
    <w:name w:val="Comment Subject Char"/>
    <w:basedOn w:val="CommentTextChar"/>
    <w:link w:val="CommentSubject"/>
    <w:uiPriority w:val="99"/>
    <w:semiHidden/>
    <w:rsid w:val="007234F5"/>
    <w:rPr>
      <w:rFonts w:ascii="Times New Roman" w:hAnsi="Times New Roman" w:cs="Times New Roman"/>
      <w:b/>
      <w:bCs/>
      <w:sz w:val="20"/>
      <w:szCs w:val="20"/>
    </w:rPr>
  </w:style>
  <w:style w:type="paragraph" w:styleId="Header">
    <w:name w:val="header"/>
    <w:basedOn w:val="Normal"/>
    <w:link w:val="HeaderChar"/>
    <w:uiPriority w:val="99"/>
    <w:unhideWhenUsed/>
    <w:rsid w:val="008F3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5E7"/>
    <w:rPr>
      <w:rFonts w:ascii="Times New Roman" w:hAnsi="Times New Roman" w:cs="Times New Roman"/>
      <w:sz w:val="24"/>
      <w:szCs w:val="24"/>
    </w:rPr>
  </w:style>
  <w:style w:type="paragraph" w:styleId="Footer">
    <w:name w:val="footer"/>
    <w:basedOn w:val="Normal"/>
    <w:link w:val="FooterChar"/>
    <w:uiPriority w:val="99"/>
    <w:unhideWhenUsed/>
    <w:rsid w:val="008F3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5E7"/>
    <w:rPr>
      <w:rFonts w:ascii="Times New Roman" w:hAnsi="Times New Roman" w:cs="Times New Roman"/>
      <w:sz w:val="24"/>
      <w:szCs w:val="24"/>
    </w:rPr>
  </w:style>
  <w:style w:type="character" w:customStyle="1" w:styleId="Heading1Char">
    <w:name w:val="Heading 1 Char"/>
    <w:basedOn w:val="DefaultParagraphFont"/>
    <w:link w:val="Heading1"/>
    <w:uiPriority w:val="9"/>
    <w:rsid w:val="00354C6E"/>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354C6E"/>
    <w:rPr>
      <w:rFonts w:asciiTheme="majorBidi" w:hAnsiTheme="majorBidi" w:cstheme="majorBidi"/>
      <w:b/>
      <w:bCs/>
      <w:sz w:val="24"/>
      <w:szCs w:val="24"/>
    </w:rPr>
  </w:style>
  <w:style w:type="character" w:customStyle="1" w:styleId="Heading3Char">
    <w:name w:val="Heading 3 Char"/>
    <w:basedOn w:val="DefaultParagraphFont"/>
    <w:link w:val="Heading3"/>
    <w:uiPriority w:val="9"/>
    <w:rsid w:val="00354C6E"/>
    <w:rPr>
      <w:rFonts w:asciiTheme="majorBidi" w:hAnsiTheme="majorBidi" w:cstheme="majorBidi"/>
      <w:b/>
      <w:bCs/>
      <w:sz w:val="24"/>
      <w:szCs w:val="24"/>
    </w:rPr>
  </w:style>
  <w:style w:type="paragraph" w:styleId="NoSpacing">
    <w:name w:val="No Spacing"/>
    <w:uiPriority w:val="1"/>
    <w:qFormat/>
    <w:rsid w:val="00354C6E"/>
    <w:pPr>
      <w:spacing w:after="0" w:line="240" w:lineRule="auto"/>
      <w:ind w:firstLine="720"/>
      <w:contextualSpacing/>
      <w:jc w:val="both"/>
      <w:outlineLvl w:val="0"/>
    </w:pPr>
    <w:rPr>
      <w:rFonts w:asciiTheme="majorBidi" w:hAnsiTheme="majorBidi" w:cstheme="majorBidi"/>
      <w:sz w:val="24"/>
      <w:szCs w:val="24"/>
    </w:rPr>
  </w:style>
  <w:style w:type="paragraph" w:customStyle="1" w:styleId="Normal1">
    <w:name w:val="Normal1"/>
    <w:basedOn w:val="Normal"/>
    <w:link w:val="normalChar"/>
    <w:qFormat/>
    <w:rsid w:val="00E32F6F"/>
    <w:rPr>
      <w:rFonts w:ascii="Times New Roman" w:hAnsi="Times New Roman"/>
    </w:rPr>
  </w:style>
  <w:style w:type="character" w:customStyle="1" w:styleId="normalChar">
    <w:name w:val="normal Char"/>
    <w:basedOn w:val="DefaultParagraphFont"/>
    <w:link w:val="Normal1"/>
    <w:rsid w:val="00E32F6F"/>
    <w:rPr>
      <w:rFonts w:ascii="Times New Roman" w:hAnsi="Times New Roman" w:cstheme="majorBidi"/>
      <w:sz w:val="24"/>
      <w:szCs w:val="24"/>
    </w:rPr>
  </w:style>
  <w:style w:type="character" w:styleId="Hyperlink">
    <w:name w:val="Hyperlink"/>
    <w:basedOn w:val="DefaultParagraphFont"/>
    <w:uiPriority w:val="99"/>
    <w:unhideWhenUsed/>
    <w:rsid w:val="00445404"/>
    <w:rPr>
      <w:color w:val="0563C1" w:themeColor="hyperlink"/>
      <w:u w:val="single"/>
    </w:rPr>
  </w:style>
  <w:style w:type="paragraph" w:customStyle="1" w:styleId="text-align-center">
    <w:name w:val="text-align-center"/>
    <w:basedOn w:val="Normal"/>
    <w:rsid w:val="00445404"/>
    <w:pPr>
      <w:spacing w:before="100" w:beforeAutospacing="1" w:after="100" w:afterAutospacing="1" w:line="240" w:lineRule="auto"/>
      <w:outlineLvl w:val="0"/>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5442">
      <w:bodyDiv w:val="1"/>
      <w:marLeft w:val="0"/>
      <w:marRight w:val="0"/>
      <w:marTop w:val="0"/>
      <w:marBottom w:val="0"/>
      <w:divBdr>
        <w:top w:val="none" w:sz="0" w:space="0" w:color="auto"/>
        <w:left w:val="none" w:sz="0" w:space="0" w:color="auto"/>
        <w:bottom w:val="none" w:sz="0" w:space="0" w:color="auto"/>
        <w:right w:val="none" w:sz="0" w:space="0" w:color="auto"/>
      </w:divBdr>
    </w:div>
    <w:div w:id="10569916">
      <w:bodyDiv w:val="1"/>
      <w:marLeft w:val="0"/>
      <w:marRight w:val="0"/>
      <w:marTop w:val="0"/>
      <w:marBottom w:val="0"/>
      <w:divBdr>
        <w:top w:val="none" w:sz="0" w:space="0" w:color="auto"/>
        <w:left w:val="none" w:sz="0" w:space="0" w:color="auto"/>
        <w:bottom w:val="none" w:sz="0" w:space="0" w:color="auto"/>
        <w:right w:val="none" w:sz="0" w:space="0" w:color="auto"/>
      </w:divBdr>
    </w:div>
    <w:div w:id="65614857">
      <w:bodyDiv w:val="1"/>
      <w:marLeft w:val="0"/>
      <w:marRight w:val="0"/>
      <w:marTop w:val="0"/>
      <w:marBottom w:val="0"/>
      <w:divBdr>
        <w:top w:val="none" w:sz="0" w:space="0" w:color="auto"/>
        <w:left w:val="none" w:sz="0" w:space="0" w:color="auto"/>
        <w:bottom w:val="none" w:sz="0" w:space="0" w:color="auto"/>
        <w:right w:val="none" w:sz="0" w:space="0" w:color="auto"/>
      </w:divBdr>
    </w:div>
    <w:div w:id="73936231">
      <w:bodyDiv w:val="1"/>
      <w:marLeft w:val="0"/>
      <w:marRight w:val="0"/>
      <w:marTop w:val="0"/>
      <w:marBottom w:val="0"/>
      <w:divBdr>
        <w:top w:val="none" w:sz="0" w:space="0" w:color="auto"/>
        <w:left w:val="none" w:sz="0" w:space="0" w:color="auto"/>
        <w:bottom w:val="none" w:sz="0" w:space="0" w:color="auto"/>
        <w:right w:val="none" w:sz="0" w:space="0" w:color="auto"/>
      </w:divBdr>
    </w:div>
    <w:div w:id="278949686">
      <w:bodyDiv w:val="1"/>
      <w:marLeft w:val="0"/>
      <w:marRight w:val="0"/>
      <w:marTop w:val="0"/>
      <w:marBottom w:val="0"/>
      <w:divBdr>
        <w:top w:val="none" w:sz="0" w:space="0" w:color="auto"/>
        <w:left w:val="none" w:sz="0" w:space="0" w:color="auto"/>
        <w:bottom w:val="none" w:sz="0" w:space="0" w:color="auto"/>
        <w:right w:val="none" w:sz="0" w:space="0" w:color="auto"/>
      </w:divBdr>
    </w:div>
    <w:div w:id="378941026">
      <w:bodyDiv w:val="1"/>
      <w:marLeft w:val="0"/>
      <w:marRight w:val="0"/>
      <w:marTop w:val="0"/>
      <w:marBottom w:val="0"/>
      <w:divBdr>
        <w:top w:val="none" w:sz="0" w:space="0" w:color="auto"/>
        <w:left w:val="none" w:sz="0" w:space="0" w:color="auto"/>
        <w:bottom w:val="none" w:sz="0" w:space="0" w:color="auto"/>
        <w:right w:val="none" w:sz="0" w:space="0" w:color="auto"/>
      </w:divBdr>
    </w:div>
    <w:div w:id="727188993">
      <w:bodyDiv w:val="1"/>
      <w:marLeft w:val="0"/>
      <w:marRight w:val="0"/>
      <w:marTop w:val="0"/>
      <w:marBottom w:val="0"/>
      <w:divBdr>
        <w:top w:val="none" w:sz="0" w:space="0" w:color="auto"/>
        <w:left w:val="none" w:sz="0" w:space="0" w:color="auto"/>
        <w:bottom w:val="none" w:sz="0" w:space="0" w:color="auto"/>
        <w:right w:val="none" w:sz="0" w:space="0" w:color="auto"/>
      </w:divBdr>
    </w:div>
    <w:div w:id="906960632">
      <w:bodyDiv w:val="1"/>
      <w:marLeft w:val="0"/>
      <w:marRight w:val="0"/>
      <w:marTop w:val="0"/>
      <w:marBottom w:val="0"/>
      <w:divBdr>
        <w:top w:val="none" w:sz="0" w:space="0" w:color="auto"/>
        <w:left w:val="none" w:sz="0" w:space="0" w:color="auto"/>
        <w:bottom w:val="none" w:sz="0" w:space="0" w:color="auto"/>
        <w:right w:val="none" w:sz="0" w:space="0" w:color="auto"/>
      </w:divBdr>
    </w:div>
    <w:div w:id="945504504">
      <w:bodyDiv w:val="1"/>
      <w:marLeft w:val="0"/>
      <w:marRight w:val="0"/>
      <w:marTop w:val="0"/>
      <w:marBottom w:val="0"/>
      <w:divBdr>
        <w:top w:val="none" w:sz="0" w:space="0" w:color="auto"/>
        <w:left w:val="none" w:sz="0" w:space="0" w:color="auto"/>
        <w:bottom w:val="none" w:sz="0" w:space="0" w:color="auto"/>
        <w:right w:val="none" w:sz="0" w:space="0" w:color="auto"/>
      </w:divBdr>
    </w:div>
    <w:div w:id="961618056">
      <w:bodyDiv w:val="1"/>
      <w:marLeft w:val="0"/>
      <w:marRight w:val="0"/>
      <w:marTop w:val="0"/>
      <w:marBottom w:val="0"/>
      <w:divBdr>
        <w:top w:val="none" w:sz="0" w:space="0" w:color="auto"/>
        <w:left w:val="none" w:sz="0" w:space="0" w:color="auto"/>
        <w:bottom w:val="none" w:sz="0" w:space="0" w:color="auto"/>
        <w:right w:val="none" w:sz="0" w:space="0" w:color="auto"/>
      </w:divBdr>
    </w:div>
    <w:div w:id="1002975600">
      <w:bodyDiv w:val="1"/>
      <w:marLeft w:val="0"/>
      <w:marRight w:val="0"/>
      <w:marTop w:val="0"/>
      <w:marBottom w:val="0"/>
      <w:divBdr>
        <w:top w:val="none" w:sz="0" w:space="0" w:color="auto"/>
        <w:left w:val="none" w:sz="0" w:space="0" w:color="auto"/>
        <w:bottom w:val="none" w:sz="0" w:space="0" w:color="auto"/>
        <w:right w:val="none" w:sz="0" w:space="0" w:color="auto"/>
      </w:divBdr>
    </w:div>
    <w:div w:id="1257135738">
      <w:bodyDiv w:val="1"/>
      <w:marLeft w:val="0"/>
      <w:marRight w:val="0"/>
      <w:marTop w:val="0"/>
      <w:marBottom w:val="0"/>
      <w:divBdr>
        <w:top w:val="none" w:sz="0" w:space="0" w:color="auto"/>
        <w:left w:val="none" w:sz="0" w:space="0" w:color="auto"/>
        <w:bottom w:val="none" w:sz="0" w:space="0" w:color="auto"/>
        <w:right w:val="none" w:sz="0" w:space="0" w:color="auto"/>
      </w:divBdr>
    </w:div>
    <w:div w:id="1301031411">
      <w:bodyDiv w:val="1"/>
      <w:marLeft w:val="0"/>
      <w:marRight w:val="0"/>
      <w:marTop w:val="0"/>
      <w:marBottom w:val="0"/>
      <w:divBdr>
        <w:top w:val="none" w:sz="0" w:space="0" w:color="auto"/>
        <w:left w:val="none" w:sz="0" w:space="0" w:color="auto"/>
        <w:bottom w:val="none" w:sz="0" w:space="0" w:color="auto"/>
        <w:right w:val="none" w:sz="0" w:space="0" w:color="auto"/>
      </w:divBdr>
    </w:div>
    <w:div w:id="1395739492">
      <w:bodyDiv w:val="1"/>
      <w:marLeft w:val="0"/>
      <w:marRight w:val="0"/>
      <w:marTop w:val="0"/>
      <w:marBottom w:val="0"/>
      <w:divBdr>
        <w:top w:val="none" w:sz="0" w:space="0" w:color="auto"/>
        <w:left w:val="none" w:sz="0" w:space="0" w:color="auto"/>
        <w:bottom w:val="none" w:sz="0" w:space="0" w:color="auto"/>
        <w:right w:val="none" w:sz="0" w:space="0" w:color="auto"/>
      </w:divBdr>
    </w:div>
    <w:div w:id="1409842310">
      <w:bodyDiv w:val="1"/>
      <w:marLeft w:val="0"/>
      <w:marRight w:val="0"/>
      <w:marTop w:val="0"/>
      <w:marBottom w:val="0"/>
      <w:divBdr>
        <w:top w:val="none" w:sz="0" w:space="0" w:color="auto"/>
        <w:left w:val="none" w:sz="0" w:space="0" w:color="auto"/>
        <w:bottom w:val="none" w:sz="0" w:space="0" w:color="auto"/>
        <w:right w:val="none" w:sz="0" w:space="0" w:color="auto"/>
      </w:divBdr>
    </w:div>
    <w:div w:id="1460411998">
      <w:bodyDiv w:val="1"/>
      <w:marLeft w:val="0"/>
      <w:marRight w:val="0"/>
      <w:marTop w:val="0"/>
      <w:marBottom w:val="0"/>
      <w:divBdr>
        <w:top w:val="none" w:sz="0" w:space="0" w:color="auto"/>
        <w:left w:val="none" w:sz="0" w:space="0" w:color="auto"/>
        <w:bottom w:val="none" w:sz="0" w:space="0" w:color="auto"/>
        <w:right w:val="none" w:sz="0" w:space="0" w:color="auto"/>
      </w:divBdr>
    </w:div>
    <w:div w:id="1546024845">
      <w:bodyDiv w:val="1"/>
      <w:marLeft w:val="0"/>
      <w:marRight w:val="0"/>
      <w:marTop w:val="0"/>
      <w:marBottom w:val="0"/>
      <w:divBdr>
        <w:top w:val="none" w:sz="0" w:space="0" w:color="auto"/>
        <w:left w:val="none" w:sz="0" w:space="0" w:color="auto"/>
        <w:bottom w:val="none" w:sz="0" w:space="0" w:color="auto"/>
        <w:right w:val="none" w:sz="0" w:space="0" w:color="auto"/>
      </w:divBdr>
    </w:div>
    <w:div w:id="1627656080">
      <w:bodyDiv w:val="1"/>
      <w:marLeft w:val="0"/>
      <w:marRight w:val="0"/>
      <w:marTop w:val="0"/>
      <w:marBottom w:val="0"/>
      <w:divBdr>
        <w:top w:val="none" w:sz="0" w:space="0" w:color="auto"/>
        <w:left w:val="none" w:sz="0" w:space="0" w:color="auto"/>
        <w:bottom w:val="none" w:sz="0" w:space="0" w:color="auto"/>
        <w:right w:val="none" w:sz="0" w:space="0" w:color="auto"/>
      </w:divBdr>
    </w:div>
    <w:div w:id="1663044407">
      <w:bodyDiv w:val="1"/>
      <w:marLeft w:val="0"/>
      <w:marRight w:val="0"/>
      <w:marTop w:val="0"/>
      <w:marBottom w:val="0"/>
      <w:divBdr>
        <w:top w:val="none" w:sz="0" w:space="0" w:color="auto"/>
        <w:left w:val="none" w:sz="0" w:space="0" w:color="auto"/>
        <w:bottom w:val="none" w:sz="0" w:space="0" w:color="auto"/>
        <w:right w:val="none" w:sz="0" w:space="0" w:color="auto"/>
      </w:divBdr>
    </w:div>
    <w:div w:id="1683702856">
      <w:bodyDiv w:val="1"/>
      <w:marLeft w:val="0"/>
      <w:marRight w:val="0"/>
      <w:marTop w:val="0"/>
      <w:marBottom w:val="0"/>
      <w:divBdr>
        <w:top w:val="none" w:sz="0" w:space="0" w:color="auto"/>
        <w:left w:val="none" w:sz="0" w:space="0" w:color="auto"/>
        <w:bottom w:val="none" w:sz="0" w:space="0" w:color="auto"/>
        <w:right w:val="none" w:sz="0" w:space="0" w:color="auto"/>
      </w:divBdr>
    </w:div>
    <w:div w:id="1696493016">
      <w:bodyDiv w:val="1"/>
      <w:marLeft w:val="0"/>
      <w:marRight w:val="0"/>
      <w:marTop w:val="0"/>
      <w:marBottom w:val="0"/>
      <w:divBdr>
        <w:top w:val="none" w:sz="0" w:space="0" w:color="auto"/>
        <w:left w:val="none" w:sz="0" w:space="0" w:color="auto"/>
        <w:bottom w:val="none" w:sz="0" w:space="0" w:color="auto"/>
        <w:right w:val="none" w:sz="0" w:space="0" w:color="auto"/>
      </w:divBdr>
    </w:div>
    <w:div w:id="1735200817">
      <w:bodyDiv w:val="1"/>
      <w:marLeft w:val="0"/>
      <w:marRight w:val="0"/>
      <w:marTop w:val="0"/>
      <w:marBottom w:val="0"/>
      <w:divBdr>
        <w:top w:val="none" w:sz="0" w:space="0" w:color="auto"/>
        <w:left w:val="none" w:sz="0" w:space="0" w:color="auto"/>
        <w:bottom w:val="none" w:sz="0" w:space="0" w:color="auto"/>
        <w:right w:val="none" w:sz="0" w:space="0" w:color="auto"/>
      </w:divBdr>
    </w:div>
    <w:div w:id="1805344411">
      <w:bodyDiv w:val="1"/>
      <w:marLeft w:val="0"/>
      <w:marRight w:val="0"/>
      <w:marTop w:val="0"/>
      <w:marBottom w:val="0"/>
      <w:divBdr>
        <w:top w:val="none" w:sz="0" w:space="0" w:color="auto"/>
        <w:left w:val="none" w:sz="0" w:space="0" w:color="auto"/>
        <w:bottom w:val="none" w:sz="0" w:space="0" w:color="auto"/>
        <w:right w:val="none" w:sz="0" w:space="0" w:color="auto"/>
      </w:divBdr>
    </w:div>
    <w:div w:id="1830946454">
      <w:bodyDiv w:val="1"/>
      <w:marLeft w:val="0"/>
      <w:marRight w:val="0"/>
      <w:marTop w:val="0"/>
      <w:marBottom w:val="0"/>
      <w:divBdr>
        <w:top w:val="none" w:sz="0" w:space="0" w:color="auto"/>
        <w:left w:val="none" w:sz="0" w:space="0" w:color="auto"/>
        <w:bottom w:val="none" w:sz="0" w:space="0" w:color="auto"/>
        <w:right w:val="none" w:sz="0" w:space="0" w:color="auto"/>
      </w:divBdr>
    </w:div>
    <w:div w:id="190109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ernstein@psy.haifa.ac.i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2E347-D24A-48D5-934A-5FA493347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11920</Words>
  <Characters>67945</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יפתח עמיר</dc:creator>
  <cp:keywords/>
  <dc:description/>
  <cp:lastModifiedBy>יפתח עמיר</cp:lastModifiedBy>
  <cp:revision>4</cp:revision>
  <dcterms:created xsi:type="dcterms:W3CDTF">2020-12-06T12:39:00Z</dcterms:created>
  <dcterms:modified xsi:type="dcterms:W3CDTF">2020-12-06T13:13:00Z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user:5923d960e4b0f1047d57e27b</vt:lpwstr>
  </property>
  <property fmtid="{D5CDD505-2E9C-101B-9397-08002B2CF9AE}" pid="3" name="WnCSubscriberId">
    <vt:lpwstr>0</vt:lpwstr>
  </property>
  <property fmtid="{D5CDD505-2E9C-101B-9397-08002B2CF9AE}" pid="4" name="WnCOutputStyleId">
    <vt:lpwstr>1669</vt:lpwstr>
  </property>
  <property fmtid="{D5CDD505-2E9C-101B-9397-08002B2CF9AE}" pid="5" name="RWProductId">
    <vt:lpwstr>Flow</vt:lpwstr>
  </property>
  <property fmtid="{D5CDD505-2E9C-101B-9397-08002B2CF9AE}" pid="6" name="WnC4Folder">
    <vt:lpwstr>Documents///Amir et al_InternalExternal_SupplementMaterials_CPS_8 JAN 2018</vt:lpwstr>
  </property>
  <property fmtid="{D5CDD505-2E9C-101B-9397-08002B2CF9AE}" pid="7" name="Mendeley Document_1">
    <vt:lpwstr>True</vt:lpwstr>
  </property>
  <property fmtid="{D5CDD505-2E9C-101B-9397-08002B2CF9AE}" pid="8" name="Mendeley Citation Style_1">
    <vt:lpwstr>http://www.zotero.org/styles/nature</vt:lpwstr>
  </property>
  <property fmtid="{D5CDD505-2E9C-101B-9397-08002B2CF9AE}" pid="9" name="Mendeley Unique User Id_1">
    <vt:lpwstr>12f6ee64-702c-3133-a2c3-15f7692ba47f</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6th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10th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8th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ies>
</file>