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64034" w14:textId="4484E4CA" w:rsidR="009906AB" w:rsidRPr="003345D5" w:rsidRDefault="009906AB" w:rsidP="003345D5">
      <w:pPr>
        <w:rPr>
          <w:bCs/>
          <w:color w:val="0D0D0D"/>
        </w:rPr>
      </w:pPr>
      <w:r>
        <w:rPr>
          <w:bCs/>
          <w:color w:val="0D0D0D"/>
        </w:rPr>
        <w:t>Attentional (</w:t>
      </w:r>
      <w:proofErr w:type="spellStart"/>
      <w:r>
        <w:rPr>
          <w:bCs/>
          <w:color w:val="0D0D0D"/>
        </w:rPr>
        <w:t>dys</w:t>
      </w:r>
      <w:proofErr w:type="spellEnd"/>
      <w:r>
        <w:rPr>
          <w:bCs/>
          <w:color w:val="0D0D0D"/>
        </w:rPr>
        <w:t xml:space="preserve">)control is </w:t>
      </w:r>
      <w:r w:rsidR="003345D5">
        <w:rPr>
          <w:bCs/>
          <w:color w:val="0D0D0D"/>
        </w:rPr>
        <w:t>key</w:t>
      </w:r>
      <w:r>
        <w:rPr>
          <w:bCs/>
          <w:color w:val="0D0D0D"/>
        </w:rPr>
        <w:t xml:space="preserve"> </w:t>
      </w:r>
      <w:r w:rsidR="003345D5">
        <w:rPr>
          <w:bCs/>
          <w:color w:val="0D0D0D"/>
        </w:rPr>
        <w:t xml:space="preserve">to </w:t>
      </w:r>
      <w:r>
        <w:rPr>
          <w:bCs/>
          <w:color w:val="0D0D0D"/>
        </w:rPr>
        <w:t xml:space="preserve">(mal)adaptive responding to both environmental (external) and metal (internal) </w:t>
      </w:r>
      <w:r w:rsidR="003345D5">
        <w:rPr>
          <w:bCs/>
          <w:color w:val="0D0D0D"/>
        </w:rPr>
        <w:t>events</w:t>
      </w:r>
      <w:r>
        <w:rPr>
          <w:bCs/>
          <w:color w:val="0D0D0D"/>
        </w:rPr>
        <w:t xml:space="preserve"> and demands</w:t>
      </w:r>
      <w:r w:rsidR="003345D5">
        <w:rPr>
          <w:bCs/>
          <w:color w:val="0D0D0D"/>
        </w:rPr>
        <w:t xml:space="preserve"> (</w:t>
      </w:r>
      <w:proofErr w:type="spellStart"/>
      <w:r w:rsidR="003345D5" w:rsidRPr="00BB0C95">
        <w:t>Ruimi</w:t>
      </w:r>
      <w:proofErr w:type="spellEnd"/>
      <w:r w:rsidR="003345D5">
        <w:t xml:space="preserve">, </w:t>
      </w:r>
      <w:r w:rsidR="003345D5" w:rsidRPr="00BB0C95">
        <w:t>Amir</w:t>
      </w:r>
      <w:r w:rsidR="003345D5">
        <w:t xml:space="preserve">, </w:t>
      </w:r>
      <w:proofErr w:type="spellStart"/>
      <w:r w:rsidR="003345D5" w:rsidRPr="0065105A">
        <w:t>Hadash</w:t>
      </w:r>
      <w:proofErr w:type="spellEnd"/>
      <w:r w:rsidR="003345D5">
        <w:t xml:space="preserve">, </w:t>
      </w:r>
      <w:r w:rsidR="003345D5">
        <w:t>Goldstein</w:t>
      </w:r>
      <w:r w:rsidR="003345D5">
        <w:t xml:space="preserve"> &amp; </w:t>
      </w:r>
      <w:r w:rsidR="003345D5" w:rsidRPr="00BB0C95">
        <w:t>Bernstein</w:t>
      </w:r>
      <w:r w:rsidR="003345D5">
        <w:t>, submitted/2020</w:t>
      </w:r>
      <w:r w:rsidR="003345D5">
        <w:rPr>
          <w:bCs/>
          <w:color w:val="0D0D0D"/>
        </w:rPr>
        <w:t xml:space="preserve">; </w:t>
      </w:r>
      <w:r>
        <w:rPr>
          <w:bCs/>
          <w:color w:val="0D0D0D"/>
        </w:rPr>
        <w:fldChar w:fldCharType="begin" w:fldLock="1"/>
      </w:r>
      <w:r>
        <w:rPr>
          <w:bCs/>
          <w:color w:val="0D0D0D"/>
        </w:rPr>
        <w:instrText>ADDIN CSL_CITATION {"citationItems":[{"id":"ITEM-1","itemData":{"author":[{"dropping-particle":"","family":"Harvey","given":"A. G.","non-dropping-particle":"","parse-names":false,"suffix":""},{"dropping-particle":"","family":"Watkins","given":"E.","non-dropping-particle":"","parse-names":false,"suffix":""}],"id":"ITEM-1","issued":{"date-parts":[["2004"]]},"title":"Cognitive behavioural processes across psychological disorders: A transdiagnostic approach to research and treatment","type":"book"},"uris":["http://www.mendeley.com/documents/?uuid=1fbed642-8de4-4a3d-8395-e545e5ade3cc"]},{"id":"ITEM-2","itemData":{"DOI":"10.1016/J.TICS.2018.01.001","author":[{"dropping-particle":"","family":"Mogg","given":"Karin","non-dropping-particle":"","parse-names":false,"suffix":""},{"dropping-particle":"","family":"Bradley","given":"Brendan P.","non-dropping-particle":"","parse-names":false,"suffix":""}],"container-title":"Trends in Cognitive Sciences","id":"ITEM-2","issue":"3","issued":{"date-parts":[["2018","3","1"]]},"page":"225-240","publisher":"Elsevier Current Trends","title":"Anxiety and Threat-Related Attention: Cognitive-Motivational Framework and Treatment","type":"article-journal","volume":"22"},"uris":["http://www.mendeley.com/documents/?uuid=fcf4f598-69f7-3544-85c8-27a673003af5"]},{"id":"ITEM-3","itemData":{"ISBN":"0-471-91845-8 (Hardcover); 0-471-92966-2 (Paperback)","abstract":"Cognitive approaches to emotional disorders are now common in clinical psychology, but abnormalities in cognitive processing (with which this book is concerned) are still not well understood.  This book aims to remedy this by reviewing theoretical and experimental aspects of the application of cognitive psychology to the understanding of emotional disorders.  It is the first comprehensive review of recent work in this area, many aspects of which (e.g. the effects of mood on memory) have attracted widespread interest.  The book has been written for postgraduate and advanced undergraduate psychologists interested in cognitive models in abnormal psychology, for clinical psychologists using cognitive therapies, and for cognitive psychologists wishing to explore the interface between cognition and emotion. (PsycINFO Database Record (c) 2016 APA, all rights reserved)","author":[{"dropping-particle":"","family":"Williams","given":"J Mark G","non-dropping-particle":"","parse-names":false,"suffix":""},{"dropping-particle":"","family":"Watts","given":"Fraser N","non-dropping-particle":"","parse-names":false,"suffix":""},{"dropping-particle":"","family":"MacLeod","given":"Colin","non-dropping-particle":"","parse-names":false,"suffix":""},{"dropping-particle":"","family":"Mathews","given":"Andrew","non-dropping-particle":"","parse-names":false,"suffix":""}],"collection-title":"The Wiley series in clinical psychology.","container-title":"Cognitive psychology and emotional disorders.","id":"ITEM-3","issued":{"date-parts":[["1988"]]},"number-of-pages":"ix, 226-ix, 226","publisher":"John Wiley &amp; Sons","publisher-place":"Oxford, England","title":"Cognitive psychology and emotional disorders.","type":"book"},"uris":["http://www.mendeley.com/documents/?uuid=c5c724db-90e6-46d9-a67e-3eef5397ffc1"]},{"id":"ITEM-4","itemData":{"DOI":"10.1521/ijct.2008.1.3.192","ISSN":"19371217","abstract":"The current paper provides an updated review of repetitive negative thinking as a transdiagnostic process. It is shown that elevated levels of repetitive negative thinking are present across a large range of Axis I disorders and appear to be causally involved in the maintenance of emotional problems. As direct comparisons of repetitive negative thinking between different disorders (e.g., GAD–type worry and depressive rumination) have generally revealed more similarities than differences, it is argued that repetitive negative thinking is characterized by the same process across disorders, which is applied to a disorder–specific content. On the other hand, there is some evidence that—within given disorders—repetitive negative thinking can be reliably distinguished from other forms of recurrent cognitions, such as obsessions, intrusive memories or functional forms of repeated thinking. An agenda for future research on repetitive negative thinking from a transdiagnostic perspective is presented.","author":[{"dropping-particle":"","family":"Ehring","given":"Thomas","non-dropping-particle":"","parse-names":false,"suffix":""},{"dropping-particle":"","family":"Watkins","given":"Edward R.","non-dropping-particle":"","parse-names":false,"suffix":""}],"container-title":"International Journal of Cognitive Therapy","id":"ITEM-4","issue":"3","issued":{"date-parts":[["2008"]]},"page":"192-205","publisher":"Springer International Publishing","title":"Repetitive negative thinking as a transdiagnostic process","type":"article-journal","volume":"1"},"uris":["http://www.mendeley.com/documents/?uuid=e68f4d44-103f-3a95-acf0-a1d665753c52"]},{"id":"ITEM-5","itemData":{"DOI":"10.1001/archgenpsychiatry.2008.525","ISBN":"1538-3636 (Electronic)\\n0003-990X (Linking)","ISSN":"0003-990X","PMID":"19188539","abstract":" Context: Social anxiety disorder is thought to involve emotional hyperreactivity, cognitive distortions, and ineffective emotion regulation. While the neural bases of emotional reactivity to social stimuli have been described, the neural bases of emotional reactivity and cognitive regulation during social and physical threat, and their relationship to social anxiety symptom severity, have yet to be investigated. Objective: To investigate behavioral and neural correlates of emotional reactivity and cognitive regulation in patients and controls during processing of social and physical threat stimuli. Design: Participants were trained to implement cognitivelinguistic regulation of emotional reactivity induced by social (harsh facial expressions) and physical (violent scenes) threat while undergoing functional agnetic resonance imaging and providing behavioral ratings of negative emotion experience. Setting: Academic psychology department. Participants: Fifteen adults with social anxiety disorder and 17 demographically matched healthy controls. Main Outcome Measures: Blood oxygen level– dependent signal and negative emotion ratings. Results: Behaviorally, patients reported greater negative emotion than controls during social and physical threat but showed equivalent reduction in negative emotion following cognitive regulation. Neurally, viewing social threat resulted in greateremotion-relatedneuralresponsesin patients than controls, with social anxietysymptomseverity related to activity in anetworkofemotion-andattention-processing regions in patients only. Viewing physical threat produced nobetween-groupdifferences.Regulationduringsocialthreat resulted in greater cognitiveandattention regulation–related brain activation in controls compared with patients. Regulation during physical threat produced greater cognitive control–related response (ie, right dorsolateral prefrontal cortex) in patients compared with controls. Conclusions: Compared with controls, patients demonstrated exaggerated negative emotion reactivity and reduced cognitive regulation–related neural activation, specifically for social threat stimuli. These findings help to elucidate potential neural mechanisms of emotion regulation that might serve as biomarkers for nterventions for social anxiety disorder.","author":[{"dropping-particle":"","family":"Goldin","given":"Philippe R.","non-dropping-particle":"","parse-names":false,"suffix":""},{"dropping-particle":"","family":"Manber","given":"Tali","non-dropping-particle":"","parse-names":false,"suffix":""},{"dropping-particle":"","family":"Hakimi","given":"Shabnam","non-dropping-particle":"","parse-names":false,"suffix":""},{"dropping-particle":"","family":"Canli","given":"Turhan","non-dropping-particle":"","parse-names":false,"suffix":""},{"dropping-particle":"","family":"Gross","given":"James J.","non-dropping-particle":"","parse-names":false,"suffix":""}],"container-title":"Archives of General Psychiatry","id":"ITEM-5","issue":"2","issued":{"date-parts":[["2009"]]},"page":"170","title":"Neural Bases of Social Anxiety Disorder","type":"article-journal","volume":"66"},"uris":["http://www.mendeley.com/documents/?uuid=588634bb-2641-47bb-87dc-4bbc1971fd28"]},{"id":"ITEM-6","itemData":{"DOI":"10.1037/0033-2909.107.2.156","ISSN":"1939-1455","author":[{"dropping-particle":"","family":"Ingram","given":"Rick E.","non-dropping-particle":"","parse-names":false,"suffix":""}],"container-title":"Psychological Bulletin","id":"ITEM-6","issue":"2","issued":{"date-parts":[["1990"]]},"page":"156-176","publisher":"US: American Psychological Association","title":"Self-focused attention in clinical disorders: Review and a conceptual model.","type":"article-journal","volume":"107"},"uris":["http://www.mendeley.com/documents/?uuid=b6886452-1378-3bf7-8006-e97dc1cb99d2"]}],"mendeley":{"formattedCitation":"(Ehring &amp; Watkins, 2008a; Goldin, Manber, Hakimi, Canli, &amp; Gross, 2009; A. G. Harvey &amp; Watkins, 2004; Ingram, 1990; Mogg &amp; Bradley, 2018; Williams, Watts, MacLeod, &amp; Mathews, 1988)","manualFormatting":"(Amir, Ruimi, &amp; Bernstein, submitted; Ehring &amp; Watkins, 2008; Goldin, Manber, Hakimi, Canli, &amp; Gross, 2009; Harvey &amp; Watkins, 2004; Ingram, 1990; Mogg &amp; Bradley, 2018; Williams, Watts, MacLeod, &amp; Mathews, 1988)","plainTextFormattedCitation":"(Ehring &amp; Watkins, 2008a; Goldin, Manber, Hakimi, Canli, &amp; Gross, 2009; A. G. Harvey &amp; Watkins, 2004; Ingram, 1990; Mogg &amp; Bradley, 2018; Williams, Watts, MacLeod, &amp; Mathews, 1988)","previouslyFormattedCitation":"(Ehring &amp; Watkins, 2008a; Goldin, Manber, Hakimi, Canli, &amp; Gross, 2009; A. G. Harvey &amp; Watkins, 2004; Ingram, 1990; Mogg &amp; Bradley, 2018; Williams, Watts, MacLeod, &amp; Mathews, 1988)"},"properties":{"noteIndex":0},"schema":"https://github.com/citation-style-language/schema/raw/master/csl-citation.json"}</w:instrText>
      </w:r>
      <w:r>
        <w:rPr>
          <w:bCs/>
          <w:color w:val="0D0D0D"/>
        </w:rPr>
        <w:fldChar w:fldCharType="separate"/>
      </w:r>
      <w:r>
        <w:rPr>
          <w:bCs/>
          <w:noProof/>
          <w:color w:val="0D0D0D"/>
        </w:rPr>
        <w:t xml:space="preserve">Amir, Ruimi, &amp; Bernstein, submitted; </w:t>
      </w:r>
      <w:r w:rsidRPr="00EF772D">
        <w:rPr>
          <w:bCs/>
          <w:noProof/>
          <w:color w:val="0D0D0D"/>
        </w:rPr>
        <w:t>Ehring &amp; Watkins, 2008; Goldin, Manber, Hakimi, Canli, &amp; Gross, 2009; Harvey &amp; Watkins, 2004; Ingram, 1990; Mogg &amp; Bradley, 2018; Williams, Watts, MacLeod, &amp; Mathews, 1988)</w:t>
      </w:r>
      <w:r>
        <w:rPr>
          <w:bCs/>
          <w:color w:val="0D0D0D"/>
        </w:rPr>
        <w:fldChar w:fldCharType="end"/>
      </w:r>
    </w:p>
    <w:p w14:paraId="335FE123" w14:textId="0B398202" w:rsidR="003E7C69" w:rsidRDefault="003E7C69" w:rsidP="003E7C69">
      <w:pPr>
        <w:pStyle w:val="ListParagraph"/>
        <w:numPr>
          <w:ilvl w:val="0"/>
          <w:numId w:val="6"/>
        </w:numPr>
      </w:pPr>
      <w:r>
        <w:t xml:space="preserve">Names and cites of disorders related to attentional </w:t>
      </w:r>
      <w:proofErr w:type="spellStart"/>
      <w:r>
        <w:t>dyscontrol</w:t>
      </w:r>
      <w:proofErr w:type="spellEnd"/>
    </w:p>
    <w:p w14:paraId="5A2EF594" w14:textId="03C4E4F4" w:rsidR="00CB7B06" w:rsidRDefault="00CB7B06" w:rsidP="00CB7B06">
      <w:r>
        <w:t xml:space="preserve">The importance of meta </w:t>
      </w:r>
      <w:proofErr w:type="spellStart"/>
      <w:r>
        <w:t>wareness</w:t>
      </w:r>
      <w:proofErr w:type="spellEnd"/>
      <w:r>
        <w:t>:</w:t>
      </w:r>
    </w:p>
    <w:p w14:paraId="11318237" w14:textId="00F13008" w:rsidR="003F6CB8" w:rsidRDefault="003E7C69" w:rsidP="00CB7B06">
      <w:pPr>
        <w:pStyle w:val="ListParagraph"/>
        <w:numPr>
          <w:ilvl w:val="0"/>
          <w:numId w:val="8"/>
        </w:numPr>
      </w:pPr>
      <w:r>
        <w:t>Meta-awareness</w:t>
      </w:r>
      <w:r w:rsidR="003F6CB8">
        <w:t xml:space="preserve">- </w:t>
      </w:r>
      <w:r w:rsidR="003F6CB8">
        <w:t xml:space="preserve">Meta-awareness has been theorized to serve a monitoring-for-control function over various internal states and mental operations. These include </w:t>
      </w:r>
      <w:r w:rsidR="003F6CB8" w:rsidRPr="00CB7B06">
        <w:rPr>
          <w:bCs/>
          <w:color w:val="0D0D0D"/>
        </w:rPr>
        <w:t>(</w:t>
      </w:r>
      <w:proofErr w:type="spellStart"/>
      <w:r w:rsidR="003F6CB8" w:rsidRPr="00CB7B06">
        <w:rPr>
          <w:bCs/>
          <w:color w:val="0D0D0D"/>
        </w:rPr>
        <w:t>i</w:t>
      </w:r>
      <w:proofErr w:type="spellEnd"/>
      <w:r w:rsidR="003F6CB8" w:rsidRPr="00CB7B06">
        <w:rPr>
          <w:bCs/>
          <w:color w:val="0D0D0D"/>
        </w:rPr>
        <w:t xml:space="preserve">) metacognitive- and self- monitoring </w:t>
      </w:r>
      <w:r w:rsidR="003F6CB8" w:rsidRPr="00CB7B06">
        <w:rPr>
          <w:bCs/>
          <w:color w:val="0D0D0D"/>
        </w:rPr>
        <w:fldChar w:fldCharType="begin" w:fldLock="1"/>
      </w:r>
      <w:r w:rsidR="003F6CB8" w:rsidRPr="00CB7B06">
        <w:rPr>
          <w:bCs/>
          <w:color w:val="0D0D0D"/>
        </w:rPr>
        <w:instrText>ADDIN CSL_CITATION {"citationItems":[{"id":"ITEM-1","itemData":{"DOI":"10.1016/J.COPSYC.2019.07.003","ISSN":"2352-250X","author":[{"dropping-particle":"","family":"Dunne","given":"J. D.","non-dropping-particle":"","parse-names":false,"suffix":""},{"dropping-particle":"","family":"Thompson","given":"E.","non-dropping-particle":"","parse-names":false,"suffix":""},{"dropping-particle":"","family":"Schooler","given":"J. W.","non-dropping-particle":"","parse-names":false,"suffix":""}],"container-title":"Current Opinion in Psychology","id":"ITEM-1","issued":{"date-parts":[["2019","8","1"]]},"page":"307-311","publisher":"Elsevier","title":"Mindful meta-awareness: sustained and non-propositional","type":"article-journal","volume":"28"},"uris":["http://www.mendeley.com/documents/?uuid=77f139bc-e8a6-3ba9-a8bf-ae84b6becca4"]},{"id":"ITEM-2","itemData":{"DOI":"10.1146/annurev-psych-042716-051139","abstract":"Mindfulness interventions aim to foster greater attention to and awareness of present moment experience. There has been a dramatic increase in ran-domized controlled trials (RCTs) of mindfulness interventions over the past two decades. This article evaluates the growing evidence of mindfulness intervention RCTs by reviewing and discussing (a) the effects of mindfulness interventions on health, cognitive, affective, and interpersonal outcomes; (b) evidence-based applications of mindfulness interventions to new settings and populations (e.g., the workplace, military, schools); (c) psychological and neurobiological mechanisms of mindfulness interventions; (d) mindfulness intervention dosing considerations; and (e) potential risks of mindfulness interventions. Methodologically rigorous RCTs have demonstrated that mind-fulness interventions improve outcomes in multiple domains (e.g., chronic pain, depression relapse, addiction). Discussion focuses on opportunities and challenges for mindfulness intervention research and on community applications.","author":[{"dropping-particle":"","family":"Creswell","given":"J David","non-dropping-particle":"","parse-names":false,"suffix":""}],"id":"ITEM-2","issued":{"date-parts":[["2016"]]},"title":"Mindfulness Interventions Mindfulness: a process of openly attending, with awareness, to one's experience in the present moment","type":"article-journal"},"uris":["http://www.mendeley.com/documents/?uuid=ef4a80ca-f582-3f1a-980b-d243493906d6"]},{"id":"ITEM-3","itemData":{"DOI":"10.1016/S1364-6613(02)01949-6","ISSN":"1364-6613","abstract":"A distinction is drawn between non-conscious (unexperienced), conscious (experienced), and meta-conscious (re-represented) mental processes. There is evidence for two types of dissociations between consciousness and meta-consciousness, the latter being defined as the intermittent explicit re-representation of the contents of consciousness. Temporal dissociations occur when an individual, who previously lacked meta-consciousness about the contents of consciousness, directs meta-consciousness towards those contents; for example, catching one's mind wandering during reading. Once meta-consciousness is triggered, translation dissociations can occur if the re-representation process misrepresents the original experience, such as when one verbally reflects on non-verbal experiences or takes stock of subtle or ambiguous experiences.","author":[{"dropping-particle":"","family":"Schooler","given":"Jonathan W","non-dropping-particle":"","parse-names":false,"suffix":""}],"container-title":"Trends in cognitive sciences","id":"ITEM-3","issue":"8","issued":{"date-parts":[["2002"]]},"page":"339-344","title":"Re-representing consciousness: dissociations between experience and meta-consciousness","type":"article-journal","volume":"6"},"uris":["http://www.mendeley.com/documents/?uuid=e58c34b3-009d-4d62-90a9-549d9c5e63f6"]}],"mendeley":{"formattedCitation":"(Creswell, 2016; Dunne, Thompson, &amp; Schooler, 2019; Schooler, 2002)","plainTextFormattedCitation":"(Creswell, 2016; Dunne, Thompson, &amp; Schooler, 2019; Schooler, 2002)","previouslyFormattedCitation":"(Creswell, 2016; Dunne, Thompson, &amp; Schooler, 2019; Schooler, 2002)"},"properties":{"noteIndex":0},"schema":"https://github.com/citation-style-language/schema/raw/master/csl-citation.json"}</w:instrText>
      </w:r>
      <w:r w:rsidR="003F6CB8" w:rsidRPr="00CB7B06">
        <w:rPr>
          <w:bCs/>
          <w:color w:val="0D0D0D"/>
        </w:rPr>
        <w:fldChar w:fldCharType="separate"/>
      </w:r>
      <w:r w:rsidR="003F6CB8" w:rsidRPr="00CB7B06">
        <w:rPr>
          <w:bCs/>
          <w:noProof/>
          <w:color w:val="0D0D0D"/>
        </w:rPr>
        <w:t>(Creswell, 2016; Dunne, Thompson, &amp; Schooler, 2019; Schooler, 2002)</w:t>
      </w:r>
      <w:r w:rsidR="003F6CB8" w:rsidRPr="00CB7B06">
        <w:rPr>
          <w:bCs/>
          <w:color w:val="0D0D0D"/>
        </w:rPr>
        <w:fldChar w:fldCharType="end"/>
      </w:r>
      <w:r w:rsidR="003F6CB8" w:rsidRPr="00CB7B06">
        <w:rPr>
          <w:bCs/>
          <w:color w:val="0D0D0D"/>
        </w:rPr>
        <w:t xml:space="preserve"> and, thereby, (ii) metacognitive-</w:t>
      </w:r>
      <w:r w:rsidR="003F6CB8" w:rsidRPr="004B1E69">
        <w:t>, behavioral</w:t>
      </w:r>
      <w:r w:rsidR="003F6CB8">
        <w:t>-</w:t>
      </w:r>
      <w:r w:rsidR="003F6CB8" w:rsidRPr="004B1E69">
        <w:t xml:space="preserve"> (e.g., response inhibition), </w:t>
      </w:r>
      <w:r w:rsidR="003F6CB8">
        <w:t xml:space="preserve">and </w:t>
      </w:r>
      <w:r w:rsidR="003F6CB8" w:rsidRPr="00CB7B06">
        <w:rPr>
          <w:bCs/>
          <w:color w:val="0D0D0D"/>
        </w:rPr>
        <w:t xml:space="preserve">emotional- </w:t>
      </w:r>
      <w:r w:rsidR="003F6CB8">
        <w:t xml:space="preserve">control or regulation (e.g., reactivity) </w:t>
      </w:r>
      <w:r w:rsidR="003F6CB8" w:rsidRPr="00500E5E">
        <w:fldChar w:fldCharType="begin" w:fldLock="1"/>
      </w:r>
      <w:r w:rsidR="003F6CB8">
        <w:instrText>ADDIN CSL_CITATION {"citationItems":[{"id":"ITEM-1","itemData":{"DOI":"10.1016/j.tics.2015.07.001","ISSN":"1364-6613","abstract":"Scientific research highlights the central role of specific psychological processes, in particular those related to the self, in various forms of human suffering and flourishing. This view is shared by Buddhism and other contemplative and humanistic traditions, which have developed meditation practices to regulate these processes. Building on a previous paper in this journal, we propose a novel classification system that categorizes specific styles of meditation into attentional, constructive, and deconstructive families based on their primary cognitive mechanisms. We suggest that meta-awareness, perspective taking and cognitive reappraisal, and self-inquiry may be important mechanisms in specific families of meditation and that alterations in these processes may be used to target states of experiential fusion, maladaptive self-schema, and cognitive reification.","author":[{"dropping-particle":"","family":"Dahl","given":"Cortland J","non-dropping-particle":"","parse-names":false,"suffix":""},{"dropping-particle":"","family":"Lutz","given":"Antoine","non-dropping-particle":"","parse-names":false,"suffix":""},{"dropping-particle":"","family":"Davidson","given":"Richard J","non-dropping-particle":"","parse-names":false,"suffix":""}],"container-title":"Trends in cognitive sciences","id":"ITEM-1","issue":"9","issued":{"date-parts":[["2015"]]},"page":"515-523","title":"Reconstructing and deconstructing the self: Cognitive mechanisms in meditation practice","type":"article-journal","volume":"19"},"uris":["http://www.mendeley.com/documents/?uuid=33ab149e-5603-3e9c-98e3-b69ece2bc043"]},{"id":"ITEM-2","itemData":{"DOI":"10.1016/J.COPSYC.2019.07.003","ISSN":"2352-250X","author":[{"dropping-particle":"","family":"Dunne","given":"J. D.","non-dropping-particle":"","parse-names":false,"suffix":""},{"dropping-particle":"","family":"Thompson","given":"E.","non-dropping-particle":"","parse-names":false,"suffix":""},{"dropping-particle":"","family":"Schooler","given":"J. W.","non-dropping-particle":"","parse-names":false,"suffix":""}],"container-title":"Current Opinion in Psychology","id":"ITEM-2","issued":{"date-parts":[["2019","8","1"]]},"page":"307-311","publisher":"Elsevier","title":"Mindful meta-awareness: sustained and non-propositional","type":"article-journal","volume":"28"},"uris":["http://www.mendeley.com/documents/?uuid=77f139bc-e8a6-3ba9-a8bf-ae84b6becca4"]},{"id":"ITEM-3","itemData":{"DOI":"10.1146/annurev-psych-042716-051139","abstract":"Mindfulness interventions aim to foster greater attention to and awareness of present moment experience. There has been a dramatic increase in ran-domized controlled trials (RCTs) of mindfulness interventions over the past two decades. This article evaluates the growing evidence of mindfulness intervention RCTs by reviewing and discussing (a) the effects of mindfulness interventions on health, cognitive, affective, and interpersonal outcomes; (b) evidence-based applications of mindfulness interventions to new settings and populations (e.g., the workplace, military, schools); (c) psychological and neurobiological mechanisms of mindfulness interventions; (d) mindfulness intervention dosing considerations; and (e) potential risks of mindfulness interventions. Methodologically rigorous RCTs have demonstrated that mind-fulness interventions improve outcomes in multiple domains (e.g., chronic pain, depression relapse, addiction). Discussion focuses on opportunities and challenges for mindfulness intervention research and on community applications.","author":[{"dropping-particle":"","family":"Creswell","given":"J David","non-dropping-particle":"","parse-names":false,"suffix":""}],"id":"ITEM-3","issued":{"date-parts":[["2016"]]},"title":"Mindfulness Interventions Mindfulness: a process of openly attending, with awareness, to one's experience in the present moment","type":"article-journal"},"uris":["http://www.mendeley.com/documents/?uuid=ef4a80ca-f582-3f1a-980b-d243493906d6"]},{"id":"ITEM-4","itemData":{"author":[{"dropping-particle":"","family":"Bernstein","given":"Amit","non-dropping-particle":"","parse-names":false,"suffix":""},{"dropping-particle":"","family":"Zvielli","given":"Ariel","non-dropping-particle":"","parse-names":false,"suffix":""}],"container-title":"Behaviour research and therapy","id":"ITEM-4","issued":{"date-parts":[["2014"]]},"page":"18-26","title":"Attention Feedback Awareness and Control Training (A-FACT): Experimental test of a novel intervention paradigm targeting attentional biasNo Title","type":"article-journal","volume":"55"},"uris":["http://www.mendeley.com/documents/?uuid=8e1b69ff-5afb-44be-81b8-d498f8307612"]},{"id":"ITEM-5","itemData":{"DOI":"10.1016/S1364-6613(02)01949-6","ISSN":"1364-6613","abstract":"A distinction is drawn between non-conscious (unexperienced), conscious (experienced), and meta-conscious (re-represented) mental processes. There is evidence for two types of dissociations between consciousness and meta-consciousness, the latter being defined as the intermittent explicit re-representation of the contents of consciousness. Temporal dissociations occur when an individual, who previously lacked meta-consciousness about the contents of consciousness, directs meta-consciousness towards those contents; for example, catching one's mind wandering during reading. Once meta-consciousness is triggered, translation dissociations can occur if the re-representation process misrepresents the original experience, such as when one verbally reflects on non-verbal experiences or takes stock of subtle or ambiguous experiences.","author":[{"dropping-particle":"","family":"Schooler","given":"Jonathan W","non-dropping-particle":"","parse-names":false,"suffix":""}],"container-title":"Trends in cognitive sciences","id":"ITEM-5","issue":"8","issued":{"date-parts":[["2002"]]},"page":"339-344","title":"Re-representing consciousness: dissociations between experience and meta-consciousness","type":"article-journal","volume":"6"},"uris":["http://www.mendeley.com/documents/?uuid=e58c34b3-009d-4d62-90a9-549d9c5e63f6"]}],"mendeley":{"formattedCitation":"(Bernstein &amp; Zvielli, 2014; Creswell, 2016; Dahl et al., 2015; Dunne et al., 2019; Schooler, 2002)","manualFormatting":"(Bernstein &amp; Zvielli, 2014; Creswell, 2016; Dahl et al., 2015; Dunne et al., 2019; Posner &amp; Rothbart, 1998; Schooler, 2002)","plainTextFormattedCitation":"(Bernstein &amp; Zvielli, 2014; Creswell, 2016; Dahl et al., 2015; Dunne et al., 2019; Schooler, 2002)","previouslyFormattedCitation":"(Bernstein &amp; Zvielli, 2014; Creswell, 2016; Dahl et al., 2015; Dunne et al., 2019; Schooler, 2002)"},"properties":{"noteIndex":0},"schema":"https://github.com/citation-style-language/schema/raw/master/csl-citation.json"}</w:instrText>
      </w:r>
      <w:r w:rsidR="003F6CB8" w:rsidRPr="00080895">
        <w:fldChar w:fldCharType="separate"/>
      </w:r>
      <w:r w:rsidR="003F6CB8" w:rsidRPr="00252717">
        <w:rPr>
          <w:noProof/>
        </w:rPr>
        <w:t>(Bernstein &amp; Zvielli, 2014; Creswell, 2016; Dahl et al., 2015; Dunne et al., 2019;</w:t>
      </w:r>
      <w:r w:rsidR="003F6CB8">
        <w:rPr>
          <w:noProof/>
        </w:rPr>
        <w:t xml:space="preserve"> Posner &amp; </w:t>
      </w:r>
      <w:r w:rsidR="003F6CB8" w:rsidRPr="006B0759">
        <w:rPr>
          <w:noProof/>
        </w:rPr>
        <w:t>Rothbart</w:t>
      </w:r>
      <w:r w:rsidR="003F6CB8">
        <w:rPr>
          <w:noProof/>
        </w:rPr>
        <w:t>, 1998;</w:t>
      </w:r>
      <w:r w:rsidR="003F6CB8" w:rsidRPr="00252717">
        <w:rPr>
          <w:noProof/>
        </w:rPr>
        <w:t xml:space="preserve"> Schooler, 2002)</w:t>
      </w:r>
      <w:r w:rsidR="003F6CB8" w:rsidRPr="00252717">
        <w:fldChar w:fldCharType="end"/>
      </w:r>
    </w:p>
    <w:p w14:paraId="761C9C98" w14:textId="77777777" w:rsidR="00CB7B06" w:rsidRDefault="00CB7B06" w:rsidP="00CB7B06">
      <w:pPr>
        <w:pStyle w:val="ListParagraph"/>
        <w:numPr>
          <w:ilvl w:val="0"/>
          <w:numId w:val="8"/>
        </w:numPr>
      </w:pPr>
      <w:r>
        <w:t>Findings from MAB 2018: “</w:t>
      </w:r>
      <w:r>
        <w:t>Meta-Awareness of Dysregulated</w:t>
      </w:r>
    </w:p>
    <w:p w14:paraId="3FCC5B41" w14:textId="12476E26" w:rsidR="00CB7B06" w:rsidRDefault="00CB7B06" w:rsidP="00CB7B06">
      <w:pPr>
        <w:pStyle w:val="ListParagraph"/>
      </w:pPr>
      <w:r>
        <w:t>Emotional Attention</w:t>
      </w:r>
      <w:r>
        <w:t xml:space="preserve">” and introduction of the method – quantifying </w:t>
      </w:r>
      <w:proofErr w:type="spellStart"/>
      <w:r>
        <w:t>metaawerness</w:t>
      </w:r>
      <w:proofErr w:type="spellEnd"/>
      <w:r>
        <w:t xml:space="preserve"> </w:t>
      </w:r>
    </w:p>
    <w:p w14:paraId="1E9452AD" w14:textId="3B348141" w:rsidR="00B1316B" w:rsidRDefault="00B1316B" w:rsidP="003F6CB8"/>
    <w:p w14:paraId="684F5C40" w14:textId="5EFF0E6B" w:rsidR="00B1316B" w:rsidRDefault="00B1316B" w:rsidP="003F6CB8">
      <w:r>
        <w:t>Two approaches to target meta awareness:</w:t>
      </w:r>
    </w:p>
    <w:p w14:paraId="79D8FAF4" w14:textId="7811422C" w:rsidR="00B1316B" w:rsidRDefault="00B1316B" w:rsidP="00B1316B">
      <w:pPr>
        <w:pStyle w:val="ListParagraph"/>
        <w:numPr>
          <w:ilvl w:val="0"/>
          <w:numId w:val="7"/>
        </w:numPr>
      </w:pPr>
      <w:r>
        <w:t>Mindfulness/</w:t>
      </w:r>
      <w:proofErr w:type="spellStart"/>
      <w:r>
        <w:t>meditaion</w:t>
      </w:r>
      <w:proofErr w:type="spellEnd"/>
      <w:r>
        <w:t xml:space="preserve"> based interventions:</w:t>
      </w:r>
    </w:p>
    <w:p w14:paraId="0CA4CC55" w14:textId="24A4294B" w:rsidR="00B1316B" w:rsidRDefault="00B1316B" w:rsidP="00B1316B">
      <w:pPr>
        <w:pStyle w:val="ListParagraph"/>
        <w:numPr>
          <w:ilvl w:val="1"/>
          <w:numId w:val="7"/>
        </w:numPr>
      </w:pPr>
      <w:r w:rsidRPr="00B1316B">
        <w:rPr>
          <w:b/>
          <w:color w:val="0D0D0D"/>
        </w:rPr>
        <w:t>meta-awareness and attention</w:t>
      </w:r>
      <w:r>
        <w:rPr>
          <w:bCs/>
          <w:color w:val="0D0D0D"/>
        </w:rPr>
        <w:t xml:space="preserve">: </w:t>
      </w:r>
      <w:r>
        <w:rPr>
          <w:bCs/>
          <w:color w:val="0D0D0D"/>
        </w:rPr>
        <w:t>body of research of direct relevance to meta-awareness and attention involves the</w:t>
      </w:r>
      <w:r>
        <w:t xml:space="preserve"> study of mindfulness meditation and </w:t>
      </w:r>
      <w:r w:rsidRPr="00685768">
        <w:rPr>
          <w:highlight w:val="yellow"/>
        </w:rPr>
        <w:t xml:space="preserve">mindfulness-based interventions </w:t>
      </w:r>
      <w:r w:rsidRPr="00685768">
        <w:rPr>
          <w:highlight w:val="yellow"/>
        </w:rPr>
        <w:fldChar w:fldCharType="begin" w:fldLock="1"/>
      </w:r>
      <w:r w:rsidRPr="00685768">
        <w:rPr>
          <w:highlight w:val="yellow"/>
        </w:rPr>
        <w:instrText>ADDIN CSL_CITATION {"citationItems":[{"id":"ITEM-1","itemData":{"DOI":"10.1146/annurev-clinpsy-021815-093423","ISSN":"1548-5943","abstract":"&lt;p&gt;Mindfulness meditation is increasingly incorporated into mental health interventions, and theoretical concepts associated with it have influenced basic research on psychopathology. Here, we review the current understanding of mindfulness meditation through the lens of clinical neuroscience, outlining the core capacities targeted by mindfulness meditation and mapping them onto cognitive and affective constructs of the Research Domain Criteria matrix proposed by the National Institute of Mental Health. We review efficacious applications of mindfulness meditation to specific domains of psychopathology including depression, anxiety, chronic pain, and substance abuse, as well as emerging efforts related to attention disorders, traumatic stress, dysregulated eating, and serious mental illness. Priorities for future research include pinpointing mechanisms, refining methodology, and improving implementation. Mindfulness meditation is a promising basis for interventions, with particular potential relevance to psychiatric comorbidity. The successes and challenges of mindfulness meditation research are instructive for broader interactions between contemplative traditions and clinical psychological science.&lt;/p&gt;","author":[{"dropping-particle":"","family":"Wielgosz","given":"Joseph","non-dropping-particle":"","parse-names":false,"suffix":""},{"dropping-particle":"","family":"Goldberg","given":"Simon B.","non-dropping-particle":"","parse-names":false,"suffix":""},{"dropping-particle":"","family":"Kral","given":"Tammi R.A.","non-dropping-particle":"","parse-names":false,"suffix":""},{"dropping-particle":"","family":"Dunne","given":"John D.","non-dropping-particle":"","parse-names":false,"suffix":""},{"dropping-particle":"","family":"Davidson","given":"Richard J.","non-dropping-particle":"","parse-names":false,"suffix":""}],"container-title":"Annual Review of Clinical Psychology","id":"ITEM-1","issue":"1","issued":{"date-parts":[["2019","5","7"]]},"page":"285-316","publisher":" Annual Reviews ","title":"Mindfulness Meditation and Psychopathology","type":"article-journal","volume":"15"},"uris":["http://www.mendeley.com/documents/?uuid=911ed802-24db-39b5-a6c3-024d75482ad0"]}],"mendeley":{"formattedCitation":"(Wielgosz, Goldberg, Kral, Dunne, &amp; Davidson, 2019b)","manualFormatting":"(Wielgosz, Goldberg, Kral, Dunne, &amp; Davidson, 2019)","plainTextFormattedCitation":"(Wielgosz, Goldberg, Kral, Dunne, &amp; Davidson, 2019b)","previouslyFormattedCitation":"(Wielgosz, Goldberg, Kral, Dunne, &amp; Davidson, 2019b)"},"properties":{"noteIndex":0},"schema":"https://github.com/citation-style-language/schema/raw/master/csl-citation.json"}</w:instrText>
      </w:r>
      <w:r w:rsidRPr="00685768">
        <w:rPr>
          <w:highlight w:val="yellow"/>
        </w:rPr>
        <w:fldChar w:fldCharType="separate"/>
      </w:r>
      <w:r w:rsidRPr="00685768">
        <w:rPr>
          <w:noProof/>
          <w:highlight w:val="yellow"/>
        </w:rPr>
        <w:t>(Wielgosz, Goldberg, Kral, Dunne, &amp; Davidson, 2019)</w:t>
      </w:r>
      <w:r w:rsidRPr="00685768">
        <w:rPr>
          <w:highlight w:val="yellow"/>
        </w:rPr>
        <w:fldChar w:fldCharType="end"/>
      </w:r>
      <w:r>
        <w:t>. Indeed</w:t>
      </w:r>
      <w:r w:rsidRPr="00685768">
        <w:rPr>
          <w:highlight w:val="yellow"/>
        </w:rPr>
        <w:t xml:space="preserve">, meta-awareness is a central target and key mechanism of action of mindfulness training </w:t>
      </w:r>
      <w:r w:rsidRPr="00685768">
        <w:rPr>
          <w:highlight w:val="yellow"/>
        </w:rPr>
        <w:fldChar w:fldCharType="begin" w:fldLock="1"/>
      </w:r>
      <w:r w:rsidRPr="00685768">
        <w:rPr>
          <w:highlight w:val="yellow"/>
        </w:rPr>
        <w:instrText>ADDIN CSL_CITATION {"citationItems":[{"id":"ITEM-1","itemData":{"DOI":"10.1177/1745691615594577","abstract":"The capacity to shift experiential perspective—from within one’s subjective experience ontothat experience—is fundamental to being human. Scholars have long theorized that this metacognitive capacity—which we refer to as decentering—may play an important role in mental health. To help illuminate this mental phenomenon and its links to mental health, we critically examine decentering-related constructs and their respective literatures (e.g., self-distanced perspective, cognitive distancing, cognitive defusion). First, we introduce a novel metacognitive processes model of decentering. Specifically, we propose that, to varying degrees, decentering-related constructs reflect a common mental phenomenon subserved by three interrelated metacognitive processes: meta-awareness, disidentification from internal experience, and reduced reactivity to thought content. Second, we examine extant research linking decentering-related constructs and their underlying metacognitive processes to mental health. We conclude by proposing future directions for research that transcends decentering-related constructs in an effort to advance the field’s understanding of this facet of human experience and its role in (mal)adaptation.","author":[{"dropping-particle":"","family":"Bernstein","given":"Amit","non-dropping-particle":"","parse-names":false,"suffix":""},{"dropping-particle":"","family":"Hadash","given":"Yuval","non-dropping-particle":"","parse-names":false,"suffix":""},{"dropping-particle":"","family":"Lichtash","given":"Yael","non-dropping-particle":"","parse-names":false,"suffix":""},{"dropping-particle":"","family":"Tanay","given":"Galia","non-dropping-particle":"","parse-names":false,"suffix":""},{"dropping-particle":"","family":"Shepherd","given":"Kathrine","non-dropping-particle":"","parse-names":false,"suffix":""},{"dropping-particle":"","family":"Fresco","given":"David M","non-dropping-particle":"","parse-names":false,"suffix":""}],"container-title":"Perspectives on Psychological Science","id":"ITEM-1","issue":"5","issued":{"date-parts":[["2015"]]},"page":"599-617","title":"Decentering and Related Constructs: A Critical Review and Metacognitive Processes Model","type":"article-journal","volume":"10"},"uris":["http://www.mendeley.com/documents/?uuid=fcc4c85b-9c2c-34f4-9ef5-0a9e42b037c3"]},{"id":"ITEM-2","itemData":{"DOI":"10.1146/annurev-clinpsy-021815-093423","ISSN":"1548-5943","abstract":"&lt;p&gt;Mindfulness meditation is increasingly incorporated into mental health interventions, and theoretical concepts associated with it have influenced basic research on psychopathology. Here, we review the current understanding of mindfulness meditation through the lens of clinical neuroscience, outlining the core capacities targeted by mindfulness meditation and mapping them onto cognitive and affective constructs of the Research Domain Criteria matrix proposed by the National Institute of Mental Health. We review efficacious applications of mindfulness meditation to specific domains of psychopathology including depression, anxiety, chronic pain, and substance abuse, as well as emerging efforts related to attention disorders, traumatic stress, dysregulated eating, and serious mental illness. Priorities for future research include pinpointing mechanisms, refining methodology, and improving implementation. Mindfulness meditation is a promising basis for interventions, with particular potential relevance to psychiatric comorbidity. The successes and challenges of mindfulness meditation research are instructive for broader interactions between contemplative traditions and clinical psychological science.&lt;/p&gt;","author":[{"dropping-particle":"","family":"Wielgosz","given":"Joseph","non-dropping-particle":"","parse-names":false,"suffix":""},{"dropping-particle":"","family":"Goldberg","given":"Simon B.","non-dropping-particle":"","parse-names":false,"suffix":""},{"dropping-particle":"","family":"Kral","given":"Tammi R.A.","non-dropping-particle":"","parse-names":false,"suffix":""},{"dropping-particle":"","family":"Dunne","given":"John D.","non-dropping-particle":"","parse-names":false,"suffix":""},{"dropping-particle":"","family":"Davidson","given":"Richard J.","non-dropping-particle":"","parse-names":false,"suffix":""}],"container-title":"Annual Review of Clinical Psychology","id":"ITEM-2","issue":"1","issued":{"date-parts":[["2019","5","7"]]},"page":"285-316","publisher":" Annual Reviews ","title":"Mindfulness Meditation and Psychopathology","type":"article-journal","volume":"15"},"uris":["http://www.mendeley.com/documents/?uuid=911ed802-24db-39b5-a6c3-024d75482ad0"]},{"id":"ITEM-3","itemData":{"DOI":"10.1016/J.COPSYC.2019.07.003","ISSN":"2352-250X","author":[{"dropping-particle":"","family":"Dunne","given":"J. D.","non-dropping-particle":"","parse-names":false,"suffix":""},{"dropping-particle":"","family":"Thompson","given":"E.","non-dropping-particle":"","parse-names":false,"suffix":""},{"dropping-particle":"","family":"Schooler","given":"J. W.","non-dropping-particle":"","parse-names":false,"suffix":""}],"container-title":"Current Opinion in Psychology","id":"ITEM-3","issued":{"date-parts":[["2019","8","1"]]},"page":"307-311","publisher":"Elsevier","title":"Mindful meta-awareness: sustained and non-propositional","type":"article-journal","volume":"28"},"uris":["http://www.mendeley.com/documents/?uuid=77f139bc-e8a6-3ba9-a8bf-ae84b6becca4"]}],"mendeley":{"formattedCitation":"(Bernstein et al., 2015; Dunne et al., 2019; Wielgosz et al., 2019b)","manualFormatting":"(Bernstein et al., 2015; Dunne et al., 2019; Wielgosz et al., 2019)","plainTextFormattedCitation":"(Bernstein et al., 2015; Dunne et al., 2019; Wielgosz et al., 2019b)","previouslyFormattedCitation":"(Bernstein et al., 2015; Dunne et al., 2019; Wielgosz et al., 2019b)"},"properties":{"noteIndex":0},"schema":"https://github.com/citation-style-language/schema/raw/master/csl-citation.json"}</w:instrText>
      </w:r>
      <w:r w:rsidRPr="00685768">
        <w:rPr>
          <w:highlight w:val="yellow"/>
        </w:rPr>
        <w:fldChar w:fldCharType="separate"/>
      </w:r>
      <w:r w:rsidRPr="00685768">
        <w:rPr>
          <w:noProof/>
          <w:highlight w:val="yellow"/>
        </w:rPr>
        <w:t>(Bernstein et al., 2015; Dunne et al., 2019; Wielgosz et al., 2019)</w:t>
      </w:r>
      <w:r w:rsidRPr="00685768">
        <w:rPr>
          <w:highlight w:val="yellow"/>
        </w:rPr>
        <w:fldChar w:fldCharType="end"/>
      </w:r>
      <w:r>
        <w:t>.</w:t>
      </w:r>
    </w:p>
    <w:p w14:paraId="543E5771" w14:textId="29E8420E" w:rsidR="00B1316B" w:rsidRDefault="00B1316B" w:rsidP="00B1316B">
      <w:pPr>
        <w:pStyle w:val="ListParagraph"/>
        <w:numPr>
          <w:ilvl w:val="1"/>
          <w:numId w:val="7"/>
        </w:numPr>
      </w:pPr>
      <w:r w:rsidRPr="00B1316B">
        <w:rPr>
          <w:b/>
          <w:color w:val="0D0D0D"/>
        </w:rPr>
        <w:t>Helped with</w:t>
      </w:r>
      <w:r>
        <w:rPr>
          <w:bCs/>
          <w:color w:val="0D0D0D"/>
        </w:rPr>
        <w:t xml:space="preserve">: </w:t>
      </w:r>
      <w:r>
        <w:t xml:space="preserve">Briefly, a number of studies have documented that mindfulness is associated with better performance on cognitive-experimental tasks designed to measure </w:t>
      </w:r>
      <w:r w:rsidRPr="00501A8E">
        <w:t>sustained attention</w:t>
      </w:r>
      <w:r>
        <w:t xml:space="preserve"> </w:t>
      </w:r>
      <w:r>
        <w:fldChar w:fldCharType="begin" w:fldLock="1"/>
      </w:r>
      <w:r>
        <w:instrText>ADDIN CSL_CITATION {"citationItems":[{"id":"ITEM-1","itemData":{"DOI":"10.1016/j.concog.2009.05.001","ISSN":"10538100","abstract":"Here we explore whether mental training in the form of meditation can help to overcome age-related attentional decline. We compared performance on the attentional blink task between three populations: A group of long-term meditation practitioners within an older population, a control group of age-matched participants and a control group of young participants. Members of both control groups had never practiced meditation. Our results show that long-term meditation practice leads to a reduction of the attentional blink. Meditation practitioners taken from an older population showed a reduction in blink as compared to a control group taken from a younger population, whereas, the control group age-matched to the meditators' group revealed a blink that was comparatively larger and broader. Our results support the hypothesis that meditation practice can: (i) alter the efficiency with which attentional resources are distributed and (ii) help to overcome age-related attentional deficits in the temporal domain. © 2009 Elsevier Inc. All rights reserved.","author":[{"dropping-particle":"","family":"Leeuwen","given":"Sara","non-dropping-particle":"van","parse-names":false,"suffix":""},{"dropping-particle":"","family":"Müller","given":"Notger G.","non-dropping-particle":"","parse-names":false,"suffix":""},{"dropping-particle":"","family":"Melloni","given":"Lucia","non-dropping-particle":"","parse-names":false,"suffix":""}],"container-title":"Consciousness and Cognition","id":"ITEM-1","issue":"3","issued":{"date-parts":[["2009","9"]]},"page":"593-599","title":"Age effects on attentional blink performance in meditation","type":"article-journal","volume":"18"},"uris":["http://www.mendeley.com/documents/?uuid=3f03aeb6-6045-3cdf-9436-e900d6c35e01"]},{"id":"ITEM-2","itemData":{"DOI":"10.1016/j.concog.2010.04.002","ISSN":"10538100","abstract":"Visual attentional processing was examined in adult meditators and non-meditators on behavioral measures of change blindness, concentration, perspective-shifting, selective attention, and sustained inattentional blindness. Results showed that meditators (1) noticed more changes in flickering scenes and noticed them more quickly, (2) counted more accurately in a challenging concentration task, (3) identified a greater number of alternative perspectives in multiple perspectives images, and (4) showed less interference from invalid cues in a visual selective attention task, but (5) did not differ on a measure of sustained inattentional blindness. Together, results show that regular meditation is associated with more accurate, efficient, and flexible visual attentional processing across diverse tasks that have high face validity outside of the laboratory. Furthermore, effects were assessed in a context separate from actual meditation practice, suggesting that meditators' better visual attention is not just immediate, but extends to contexts separate from meditation practice. © 2010 Elsevier Inc.","author":[{"dropping-particle":"","family":"Hodgins","given":"Holley S.","non-dropping-particle":"","parse-names":false,"suffix":""},{"dropping-particle":"","family":"Adair","given":"Kathryn C.","non-dropping-particle":"","parse-names":false,"suffix":""}],"container-title":"Consciousness and Cognition","id":"ITEM-2","issue":"4","issued":{"date-parts":[["2010","12"]]},"page":"872-878","title":"Attentional processes and meditation","type":"article-journal","volume":"19"},"uris":["http://www.mendeley.com/documents/?uuid=16f89e4b-1db7-3ced-99ec-0ac5349a3b1c"]},{"id":"ITEM-3","itemData":{"DOI":"10.1037/a0026678","ISSN":"15283542","abstract":"Research into both mindfulness and mind-wandering has grown rapidly, yet clarification of the relationship between these two seemingly opposing constructs is still absent. A first study addresses the relationship between a dispositional measure of mindfulness (Mindful Attention and Awareness Scale, MAAS) and converging measures of both self-reported and indirect markers of mind-wandering. Negative correlations between dispositional mindfulness and 4 measures of mind-wandering confirm the opposing relationship between the 2 constructs and further validate the use of the MAAS as a dispositional measure of mindfulness. A second study demonstrated that 8 minutes of mindful breathing reduces behavioral indicators of mind-wandering during a Sustained Attention to Response Task compared with both passive relaxation and reading. Together these studies clarify the opposition between the constructs of mindfulness and mind-wandering and so should lead to greater convergence between what have been predominately separate, yet mutually relevant, lines of research. © 2012 American Psychological Association.","author":[{"dropping-particle":"","family":"Mrazek","given":"Michael D.","non-dropping-particle":"","parse-names":false,"suffix":""},{"dropping-particle":"","family":"Smallwood","given":"Jonathan","non-dropping-particle":"","parse-names":false,"suffix":""},{"dropping-particle":"","family":"Schooler","given":"Jonathan W.","non-dropping-particle":"","parse-names":false,"suffix":""}],"container-title":"Emotion","id":"ITEM-3","issue":"3","issued":{"date-parts":[["2012","6"]]},"page":"442-448","title":"Mindfulness and mind-wandering: Finding convergence through opposing constructs","type":"article-journal","volume":"12"},"uris":["http://www.mendeley.com/documents/?uuid=4a190789-a79b-30eb-9101-a2b89934e07b"]},{"id":"ITEM-4","itemData":{"DOI":"10.3389/fnhum.2014.00069","ISSN":"1662-5161","author":[{"dropping-particle":"","family":"Elliott","given":"James C.","non-dropping-particle":"","parse-names":false,"suffix":""},{"dropping-particle":"","family":"Wallace","given":"B. Alan","non-dropping-particle":"","parse-names":false,"suffix":""},{"dropping-particle":"","family":"Giesbrecht","given":"Barry","non-dropping-particle":"","parse-names":false,"suffix":""}],"container-title":"Frontiers in Human Neuroscience","id":"ITEM-4","issued":{"date-parts":[["2014"]]},"title":"A week-long meditation retreat decouples behavioral measures of the alerting and executive attention networks","type":"article-journal","volume":"8"},"uris":["http://www.mendeley.com/documents/?uuid=b4c26ffb-fa82-3059-b342-ddc8907e194d"]}],"mendeley":{"formattedCitation":"(Elliott, Wallace, &amp; Giesbrecht, 2014; Hodgins &amp; Adair, 2010; Mrazek, Smallwood, &amp; Schooler, 2012; van Leeuwen, Müller, &amp; Melloni, 2009)","manualFormatting":"(e.g., Elliott, Wallace, &amp; Giesbrecht, 2014; Hodgins &amp; Adair, 2010; Mrazek, Smallwood, &amp; Schooler, 2012; van Leeuwen, Müller, &amp; Melloni, 2009)","plainTextFormattedCitation":"(Elliott, Wallace, &amp; Giesbrecht, 2014; Hodgins &amp; Adair, 2010; Mrazek, Smallwood, &amp; Schooler, 2012; van Leeuwen, Müller, &amp; Melloni, 2009)","previouslyFormattedCitation":"(Elliott, Wallace, &amp; Giesbrecht, 2014; Hodgins &amp; Adair, 2010; Mrazek, Smallwood, &amp; Schooler, 2012; van Leeuwen, Müller, &amp; Melloni, 2009)"},"properties":{"noteIndex":0},"schema":"https://github.com/citation-style-language/schema/raw/master/csl-citation.json"}</w:instrText>
      </w:r>
      <w:r>
        <w:fldChar w:fldCharType="separate"/>
      </w:r>
      <w:r w:rsidRPr="007B57EB">
        <w:rPr>
          <w:noProof/>
        </w:rPr>
        <w:t>(</w:t>
      </w:r>
      <w:r>
        <w:rPr>
          <w:noProof/>
        </w:rPr>
        <w:t xml:space="preserve">e.g., </w:t>
      </w:r>
      <w:r w:rsidRPr="007B57EB">
        <w:rPr>
          <w:noProof/>
        </w:rPr>
        <w:t>Elliott, Wallace, &amp; Giesbrecht, 2014; Hodgins &amp; Adair, 2010; Mrazek, Smallwood, &amp; Schooler, 2012; van Leeuwen, Müller, &amp; Melloni, 2009)</w:t>
      </w:r>
      <w:r>
        <w:fldChar w:fldCharType="end"/>
      </w:r>
      <w:r>
        <w:t xml:space="preserve">, </w:t>
      </w:r>
      <w:r w:rsidRPr="00501A8E">
        <w:t>attentional selection</w:t>
      </w:r>
      <w:r>
        <w:t xml:space="preserve"> </w:t>
      </w:r>
      <w:r>
        <w:fldChar w:fldCharType="begin" w:fldLock="1"/>
      </w:r>
      <w:r>
        <w:instrText>ADDIN CSL_CITATION {"citationItems":[{"id":"ITEM-1","itemData":{"DOI":"10.1177/1087054714548032","ISSN":"1087-0547","author":[{"dropping-particle":"","family":"Felver","given":"Joshua C.","non-dropping-particle":"","parse-names":false,"suffix":""},{"dropping-particle":"","family":"Tipsord","given":"Jessica M.","non-dropping-particle":"","parse-names":false,"suffix":""},{"dropping-particle":"","family":"Morris","given":"Maxwell J.","non-dropping-particle":"","parse-names":false,"suffix":""},{"dropping-particle":"","family":"Racer","given":"Kristina Hiatt","non-dropping-particle":"","parse-names":false,"suffix":""},{"dropping-particle":"","family":"Dishion","given":"Thomas J.","non-dropping-particle":"","parse-names":false,"suffix":""}],"container-title":"Journal of Attention Disorders","id":"ITEM-1","issue":"10","issued":{"date-parts":[["2017","8","29"]]},"page":"872-881","title":"The Effects of Mindfulness-Based Intervention on Children’s Attention Regulation","type":"article-journal","volume":"21"},"uris":["http://www.mendeley.com/documents/?uuid=94d5b6d5-62a5-3dbe-b6e9-41b0ccfc5dab"]},{"id":"ITEM-2","itemData":{"DOI":"10.3389/fnhum.2018.00315","ISSN":"16625161","abstract":"Past research has found that mindfulness meditation training improves executive attention. Event-related potentials (ERPs) have indicated that this effect could be driven by more efficient allocation of resources on demanding attentional tasks, such as the Flanker Task and the Attention Network Test (ANT). However, it is not clear whether these changes depend on long-term practice. In two studies, we sought to investigate the effects of a brief, 10-min meditation session on attention in novice meditators, compared to a control activity. We also tested moderation by individual differences in neuroticism and the possible underlying neural mechanisms driving these effects, using ERPs. In Study 1, participants randomly assigned to listen to a 10-min meditation tape had better accuracy on incongruent trials on a Flanker task, with no detriment in reaction times (RTs), indicating better allocation of resources. In Study 2, those assigned to listen to a meditation tape performed an ANT more quickly than control participants, with no detriment in performance. Neuroticism moderated both of these effects, and ERPs showed that those individuals lower in neuroticism who meditated for 10 min exhibited a larger N2 to incongruent trials compared to those who listened to a control tape; whereas those individuals higher in neuroticism did not. Together, our results support the hypothesis that even brief meditation improves allocation of attentional resources in some novices.","author":[{"dropping-particle":"","family":"Norris","given":"Catherine J.","non-dropping-particle":"","parse-names":false,"suffix":""},{"dropping-particle":"","family":"Creem","given":"Daniel","non-dropping-particle":"","parse-names":false,"suffix":""},{"dropping-particle":"","family":"Hendler","given":"Reuben","non-dropping-particle":"","parse-names":false,"suffix":""},{"dropping-particle":"","family":"Kober","given":"Hedy","non-dropping-particle":"","parse-names":false,"suffix":""}],"container-title":"Frontiers in Human Neuroscience","id":"ITEM-2","issued":{"date-parts":[["2018","8","6"]]},"publisher":"Frontiers Media S.A.","title":"Brief Mindfulness Meditation Improves Attention in Novices: Evidence From ERPs and Moderation by Neuroticism","type":"article-journal","volume":"12"},"uris":["http://www.mendeley.com/documents/?uuid=af5dc21b-3eda-3978-8cb1-a2214bc6efb9"]},{"id":"ITEM-3","itemData":{"DOI":"10.1007/s12144-016-9454-y","ISSN":"19364733","abstract":"Mindfulness practice is becoming an accepted psychological intervention used in clinical settings to help enhance attention. To date however relatively few randomised control trial (RCT) studies have investigated the effect of mindfulness training on attentional skills in novice practitioners. This study examined the effect of daily mindfulness practice on changes in attention skills; alerting, orienting and executive control in novice practitioners. Forty six university students from Perth, Western Australia were randomly assigned to one of two groups (mindfulness or waitlist control). Baseline analyses of psychological wellbeing indicated that the two groups initially were comparable in this domain. Pre- and post-test assessments using the Attention Network Test (ANT) were conducted to measure attention skills. Repeated measures ANOVA were used to examine the effect of intervention. Significant improvement in orienting and executive control skills following the mindfulness intervention was noted, however, no changes in alerting attentional skills were detected. Mindfulness practice impacted on the fundamental processes of the selective (orienting) and executive attention (executive control) networks which may in turn have additional beneficial effects in a variety of domains and situations. These findings add to existing literature that supports the positive and beneficial effect of regular mindfulness practice for the enhancement of attentional skills and its potential application to clinical populations.","author":[{"dropping-particle":"","family":"Becerra","given":"Rodrigo","non-dropping-particle":"","parse-names":false,"suffix":""},{"dropping-particle":"","family":"Dandrade","given":"Coralyn","non-dropping-particle":"","parse-names":false,"suffix":""},{"dropping-particle":"","family":"Harms","given":"Craig","non-dropping-particle":"","parse-names":false,"suffix":""}],"container-title":"Current Psychology","id":"ITEM-3","issue":"3","issued":{"date-parts":[["2017","9","1"]]},"page":"657-664","publisher":"Springer New York LLC","title":"Can Specific Attentional Skills be Modified with Mindfulness Training for Novice Practitioners?","type":"article-journal","volume":"36"},"uris":["http://www.mendeley.com/documents/?uuid=3234e683-19d7-353e-88cf-60ab8cc4a9b2"]}],"mendeley":{"formattedCitation":"(Becerra, Dandrade, &amp; Harms, 2017; Felver, Tipsord, Morris, Racer, &amp; Dishion, 2017; Norris, Creem, Hendler, &amp; Kober, 2018)","manualFormatting":"(e.g., Becerra, Dandrade, &amp; Harms, 2017; Felver, Tipsord, Morris, Racer, &amp; Dishion, 2017; Norris, Creem, Hendler, &amp; Kober, 2018)","plainTextFormattedCitation":"(Becerra, Dandrade, &amp; Harms, 2017; Felver, Tipsord, Morris, Racer, &amp; Dishion, 2017; Norris, Creem, Hendler, &amp; Kober, 2018)","previouslyFormattedCitation":"(Becerra, Dandrade, &amp; Harms, 2017; Felver, Tipsord, Morris, Racer, &amp; Dishion, 2017; Norris, Creem, Hendler, &amp; Kober, 2018)"},"properties":{"noteIndex":0},"schema":"https://github.com/citation-style-language/schema/raw/master/csl-citation.json"}</w:instrText>
      </w:r>
      <w:r>
        <w:fldChar w:fldCharType="separate"/>
      </w:r>
      <w:r w:rsidRPr="005B360A">
        <w:rPr>
          <w:noProof/>
        </w:rPr>
        <w:t>(</w:t>
      </w:r>
      <w:r>
        <w:rPr>
          <w:noProof/>
        </w:rPr>
        <w:t xml:space="preserve">e.g., </w:t>
      </w:r>
      <w:r w:rsidRPr="005B360A">
        <w:rPr>
          <w:noProof/>
        </w:rPr>
        <w:t>Becerra, Dandrade, &amp; Harms, 2017; Felver, Tipsord, Morris, Racer, &amp; Dishion, 2017; Norris, Creem, Hendler, &amp; Kober, 2018)</w:t>
      </w:r>
      <w:r>
        <w:fldChar w:fldCharType="end"/>
      </w:r>
      <w:r>
        <w:t xml:space="preserve">, </w:t>
      </w:r>
      <w:r w:rsidRPr="00501A8E">
        <w:t>and attentional control</w:t>
      </w:r>
      <w:r>
        <w:t xml:space="preserve"> </w:t>
      </w:r>
      <w:r w:rsidRPr="00252717">
        <w:fldChar w:fldCharType="begin" w:fldLock="1"/>
      </w:r>
      <w:r w:rsidRPr="00080895">
        <w:instrText>ADDIN CSL_CITATION {"citationItems":[{"id":"ITEM-1","itemData":{"DOI":"10.1016/j.concog.2008.12.008","ISSN":"10538100","PMID":"19181542","abstract":"This study investigated the link between meditation, self-reported mindfulness and cognitive flexibility as well as other attentional functions. It compared a group of meditators experienced in mindfulness meditation with a meditation-naïve control group on measures of Stroop interference and the \"d2-concentration and endurance test\". Overall the results suggest that attentional performance and cognitive flexibility are positively related to meditation practice and levels of mindfulness. Meditators performed significantly better than non-meditators on all measures of attention. Furthermore, self-reported mindfulness was higher in meditators than non-meditators and correlations with all attention measures were of moderate to high strength. This pattern of results suggests that mindfulness is intimately linked to improvements of attentional functions and cognitive flexibility. The relevance of these findings for mental balance and well-being are discussed. © 2008 Elsevier Inc. All rights reserved.","author":[{"dropping-particle":"","family":"Moore","given":"Adam","non-dropping-particle":"","parse-names":false,"suffix":""},{"dropping-particle":"","family":"Malinowski","given":"Peter","non-dropping-particle":"","parse-names":false,"suffix":""}],"container-title":"Consciousness and Cognition","id":"ITEM-1","issue":"1","issued":{"date-parts":[["2009","3"]]},"page":"176-186","title":"Meditation, mindfulness and cognitive flexibility","type":"article-journal","volume":"18"},"uris":["http://www.mendeley.com/documents/?uuid=5945f53e-e7bb-357d-9198-0657f2f91aed"]},{"id":"ITEM-2","itemData":{"DOI":"10.3389/fnhum.2018.00315","ISSN":"16625161","abstract":"Past research has found that mindfulness meditation training improves executive attention. Event-related potentials (ERPs) have indicated that this effect could be driven by more efficient allocation of resources on demanding attentional tasks, such as the Flanker Task and the Attention Network Test (ANT). However, it is not clear whether these changes depend on long-term practice. In two studies, we sought to investigate the effects of a brief, 10-min meditation session on attention in novice meditators, compared to a control activity. We also tested moderation by individual differences in neuroticism and the possible underlying neural mechanisms driving these effects, using ERPs. In Study 1, participants randomly assigned to listen to a 10-min meditation tape had better accuracy on incongruent trials on a Flanker task, with no detriment in reaction times (RTs), indicating better allocation of resources. In Study 2, those assigned to listen to a meditation tape performed an ANT more quickly than control participants, with no detriment in performance. Neuroticism moderated both of these effects, and ERPs showed that those individuals lower in neuroticism who meditated for 10 min exhibited a larger N2 to incongruent trials compared to those who listened to a control tape; whereas those individuals higher in neuroticism did not. Together, our results support the hypothesis that even brief meditation improves allocation of attentional resources in some novices.","author":[{"dropping-particle":"","family":"Norris","given":"Catherine J.","non-dropping-particle":"","parse-names":false,"suffix":""},{"dropping-particle":"","family":"Creem","given":"Daniel","non-dropping-particle":"","parse-names":false,"suffix":""},{"dropping-particle":"","family":"Hendler","given":"Reuben","non-dropping-particle":"","parse-names":false,"suffix":""},{"dropping-particle":"","family":"Kober","given":"Hedy","non-dropping-particle":"","parse-names":false,"suffix":""}],"container-title":"Frontiers in Human Neuroscience","id":"ITEM-2","issued":{"date-parts":[["2018","8","6"]]},"publisher":"Frontiers Media S.A.","title":"Brief Mindfulness Meditation Improves Attention in Novices: Evidence From ERPs and Moderation by Neuroticism","type":"article-journal","volume":"12"},"uris":["http://www.mendeley.com/documents/?uuid=af5dc21b-3eda-3978-8cb1-a2214bc6efb9"]},{"id":"ITEM-3","itemData":{"DOI":"10.1007/s12671-015-0482-8","ISSN":"18688535","abstract":"There is growing interest in the potential benefits of mindfulness meditation practices in terms of counteracting some of the cognitive effects associated with aging. Pursuing this question, the aim of the present study was to investigate the influence of mindfulness training on executive control and emotion regulation in older adults, by means of studying behavioral and electrophysiological changes. Participants, 55 to 75 years of age, were randomly allocated to an 8-week mindful breath awareness training group or an active control group engaging in brain training exercises. Before and after the training period, participants completed an emotional-counting Stroop task, designed to measure attentional control and emotion regulation processes. Concurrently, their brain activity was measured by means of 64-channel electroencephalography. The results show that engaging in just over 10 min of mindfulness practice five times per week resulted in significant improvements in behavioral (response latency) and electrophysiological (N2 event-related potential) measures related to general task performance. Analyses of the underlying cortical sources (Variable Resolution Electromagnetic Tomography, VARETA) indicate that this N2-related effect is primarily associated with changes in the right angular gyrus and other areas of the dorsal attention network. However, the study did not find the expected specific improvements in executive control and emotion regulation, which may be due to the training instructions or the relative brevity of the intervention. Overall, the results indicate that engaging in mindfulness meditation training improves the maintenance of goal-directed visuospatial attention and may be a useful strategy for counteracting cognitive decline associated with aging.","author":[{"dropping-particle":"","family":"Malinowski","given":"Peter","non-dropping-particle":"","parse-names":false,"suffix":""},{"dropping-particle":"","family":"Moore","given":"Adam W.","non-dropping-particle":"","parse-names":false,"suffix":""},{"dropping-particle":"","family":"Mead","given":"Bethan R.","non-dropping-particle":"","parse-names":false,"suffix":""},{"dropping-particle":"","family":"Gruber","given":"Thomas","non-dropping-particle":"","parse-names":false,"suffix":""}],"container-title":"Mindfulness","id":"ITEM-3","issue":"1","issued":{"date-parts":[["2017","2","1"]]},"page":"78-94","publisher":"Springer New York LLC","title":"Mindful Aging: The Effects of Regular Brief Mindfulness Practice on Electrophysiological Markers of Cognitive and Affective Processing in Older Adults","type":"article-journal","volume":"8"},"uris":["http://www.mendeley.com/documents/?uuid=93b9594d-479b-3184-bfa6-977e1a375033"]},{"id":"ITEM-4","itemData":{"DOI":"10.3389/fnhum.2014.00069","ISSN":"1662-5161","author":[{"dropping-particle":"","family":"Elliott","given":"James C.","non-dropping-particle":"","parse-names":false,"suffix":""},{"dropping-particle":"","family":"Wallace","given":"B. Alan","non-dropping-particle":"","parse-names":false,"suffix":""},{"dropping-particle":"","family":"Giesbrecht","given":"Barry","non-dropping-particle":"","parse-names":false,"suffix":""}],"container-title":"Frontiers in Human Neuroscience","id":"ITEM-4","issued":{"date-parts":[["2014"]]},"title":"A week-long meditation retreat decouples behavioral measures of the alerting and executive attention networks","type":"article-journal","volume":"8"},"uris":["http://www.mendeley.com/documents/?uuid=b4c26ffb-fa82-3059-b342-ddc8907e194d"]}],"mendeley":{"formattedCitation":"(Elliott et al., 2014; Malinowski, Moore, Mead, &amp; Gruber, 2017; Moore &amp; Malinowski, 2009; Norris et al., 2018)","manualFormatting":"(e.g., Elliott et al., 2014; Malinowski, Moore, Mead, &amp; Gruber, 2017; Moore &amp; Malinowski, 2009; Norris et al., 2018)","plainTextFormattedCitation":"(Elliott et al., 2014; Malinowski, Moore, Mead, &amp; Gruber, 2017; Moore &amp; Malinowski, 2009; Norris et al., 2018)","previouslyFormattedCitation":"(Elliott et al., 2014; Malinowski, Moore, Mead, &amp; Gruber, 2017; Moore &amp; Malinowski, 2009; Norris et al., 2018)"},"properties":{"noteIndex":0},"schema":"https://github.com/citation-style-language/schema/raw/master/csl-citation.json"}</w:instrText>
      </w:r>
      <w:r w:rsidRPr="00080895">
        <w:fldChar w:fldCharType="separate"/>
      </w:r>
      <w:r w:rsidRPr="00252717">
        <w:rPr>
          <w:noProof/>
        </w:rPr>
        <w:t>(e.g., Elliott et al., 2014; Malinowski, Moore, Mead, &amp; Gruber, 2017; Moore &amp; Malinowski, 2009; Norris et al., 2018)</w:t>
      </w:r>
      <w:r w:rsidRPr="00252717">
        <w:fldChar w:fldCharType="end"/>
      </w:r>
      <w:r w:rsidRPr="00252717">
        <w:t>.</w:t>
      </w:r>
    </w:p>
    <w:p w14:paraId="0B210D7F" w14:textId="77777777" w:rsidR="00CB7B06" w:rsidRDefault="00B1316B" w:rsidP="00CB7B06">
      <w:pPr>
        <w:pStyle w:val="ListParagraph"/>
        <w:numPr>
          <w:ilvl w:val="0"/>
          <w:numId w:val="7"/>
        </w:numPr>
      </w:pPr>
      <w:r>
        <w:t>Real time feedback on attentional bias towards emotional stimuli</w:t>
      </w:r>
    </w:p>
    <w:p w14:paraId="01BA8FFF" w14:textId="054C566E" w:rsidR="00174190" w:rsidRDefault="00174190" w:rsidP="00CB7B06">
      <w:pPr>
        <w:pStyle w:val="ListParagraph"/>
        <w:numPr>
          <w:ilvl w:val="1"/>
          <w:numId w:val="7"/>
        </w:numPr>
      </w:pPr>
      <w:r>
        <w:t xml:space="preserve">Studies of A-FACT have reported effects including: (1) </w:t>
      </w:r>
      <w:r w:rsidRPr="00AF6898">
        <w:t xml:space="preserve">elevated levels of meta-awareness of biased </w:t>
      </w:r>
      <w:r>
        <w:t xml:space="preserve">external </w:t>
      </w:r>
      <w:r w:rsidRPr="00AF6898">
        <w:t>attention and thereby greater</w:t>
      </w:r>
      <w:r>
        <w:t xml:space="preserve"> external attentional</w:t>
      </w:r>
      <w:r w:rsidRPr="00AF6898">
        <w:t xml:space="preserve"> control </w:t>
      </w:r>
      <w:r>
        <w:t>(</w:t>
      </w:r>
      <w:proofErr w:type="spellStart"/>
      <w:r>
        <w:t>Ruimi</w:t>
      </w:r>
      <w:proofErr w:type="spellEnd"/>
      <w:r>
        <w:t xml:space="preserve">, Hendren, </w:t>
      </w:r>
      <w:proofErr w:type="spellStart"/>
      <w:r>
        <w:t>Zvielli</w:t>
      </w:r>
      <w:proofErr w:type="spellEnd"/>
      <w:r>
        <w:t xml:space="preserve">, Amir, &amp; Bernstein, </w:t>
      </w:r>
      <w:r>
        <w:t>2019</w:t>
      </w:r>
      <w:r>
        <w:t xml:space="preserve">); </w:t>
      </w:r>
      <w:r w:rsidRPr="006E2F30">
        <w:t>(</w:t>
      </w:r>
      <w:r>
        <w:t>2</w:t>
      </w:r>
      <w:r w:rsidRPr="006E2F30">
        <w:t xml:space="preserve">) </w:t>
      </w:r>
      <w:r>
        <w:t>greater control over</w:t>
      </w:r>
      <w:r w:rsidRPr="00AF6898">
        <w:t xml:space="preserve"> </w:t>
      </w:r>
      <w:r w:rsidRPr="006E2F30">
        <w:t>covert (response</w:t>
      </w:r>
      <w:r>
        <w:t xml:space="preserve"> </w:t>
      </w:r>
      <w:r w:rsidRPr="006E2F30">
        <w:t xml:space="preserve">time) </w:t>
      </w:r>
      <w:r>
        <w:t xml:space="preserve">as well as overt (eye-movement) external </w:t>
      </w:r>
      <w:r w:rsidRPr="006E2F30">
        <w:t xml:space="preserve">attentional </w:t>
      </w:r>
      <w:r>
        <w:t>processing of threat and reward</w:t>
      </w:r>
      <w:r w:rsidRPr="006E2F30">
        <w:t xml:space="preserve"> (Bernstein &amp; </w:t>
      </w:r>
      <w:proofErr w:type="spellStart"/>
      <w:r w:rsidRPr="006E2F30">
        <w:t>Zvielli</w:t>
      </w:r>
      <w:proofErr w:type="spellEnd"/>
      <w:r w:rsidRPr="006E2F30">
        <w:t xml:space="preserve">, 2014; </w:t>
      </w:r>
      <w:proofErr w:type="spellStart"/>
      <w:r w:rsidRPr="006E2F30">
        <w:t>Zvielli</w:t>
      </w:r>
      <w:proofErr w:type="spellEnd"/>
      <w:r w:rsidRPr="006E2F30">
        <w:t>, Amir, Goldstein, &amp; Bernstein, 2016</w:t>
      </w:r>
      <w:r>
        <w:t xml:space="preserve">; </w:t>
      </w:r>
      <w:proofErr w:type="spellStart"/>
      <w:r>
        <w:t>Ruimi</w:t>
      </w:r>
      <w:proofErr w:type="spellEnd"/>
      <w:r>
        <w:t xml:space="preserve">, Hendren, </w:t>
      </w:r>
      <w:proofErr w:type="spellStart"/>
      <w:r>
        <w:t>Zvielli</w:t>
      </w:r>
      <w:proofErr w:type="spellEnd"/>
      <w:r>
        <w:t xml:space="preserve">, Goldstein, &amp; Bernstein, </w:t>
      </w:r>
      <w:r w:rsidRPr="00DA7A2D">
        <w:t xml:space="preserve">under review); and subsequent (3) reduced emotional reactivity to an anxiogenic stressor (Bernstein &amp; </w:t>
      </w:r>
      <w:proofErr w:type="spellStart"/>
      <w:r w:rsidRPr="00111DDA">
        <w:t>Zvielli</w:t>
      </w:r>
      <w:proofErr w:type="spellEnd"/>
      <w:r w:rsidRPr="00111DDA">
        <w:t xml:space="preserve">, 2014; </w:t>
      </w:r>
      <w:proofErr w:type="spellStart"/>
      <w:r w:rsidRPr="00111DDA">
        <w:t>Zvielli</w:t>
      </w:r>
      <w:proofErr w:type="spellEnd"/>
      <w:r w:rsidRPr="00111DDA">
        <w:t xml:space="preserve"> et al., 2016). </w:t>
      </w:r>
      <w:r w:rsidRPr="00DA7A2D">
        <w:t>Likewise</w:t>
      </w:r>
      <w:r>
        <w:t xml:space="preserve">, Sanchez-Lopez et al (2016) delivered real-time (trial-level) gaze-contingent </w:t>
      </w:r>
      <w:r w:rsidRPr="00B56A93">
        <w:t>feedback</w:t>
      </w:r>
      <w:r>
        <w:t xml:space="preserve"> via </w:t>
      </w:r>
      <w:r w:rsidRPr="00B547E2">
        <w:t>Eye-gaze Contingent A</w:t>
      </w:r>
      <w:r w:rsidRPr="003E1702">
        <w:t>ttention Training</w:t>
      </w:r>
      <w:r>
        <w:t xml:space="preserve"> (</w:t>
      </w:r>
      <w:r>
        <w:fldChar w:fldCharType="begin" w:fldLock="1"/>
      </w:r>
      <w:r>
        <w:instrText>ADDIN CSL_CITATION {"citationItems":[{"id":"ITEM-1","itemData":{"DOI":"10.1037/emo0000198","ISSN":"19311516","PMID":"27322115","abstract":"Reappraisal is central to emotion regulation but its mechanisms are unclear. This study tested the theoretical prediction that emotional attention bias is linked to reappraisal of negative emotion-eliciting stimuli and subsequent emotional responding using a novel attentional control training. Thirty-six undergraduates were randomly assigned to either the control or the attention training condition and were provided with different task instructions while they performed an interpretation task. Whereas control participants freely created interpretations, participants in the training condition were instructed to allocate attention toward positive words to efficiently create positive interpretations (i.e., recruiting attentional control) while they were provided with gaze-contingent feedback on their viewing behavior. Transfer to attention bias and reappraisal success was evaluated using a dot-probe task and an emotion regulation task which were administered before and after the training. The training condition was effective at increasing attentional control and resulted in beneficial effects on the transfer tasks. Analyses supported a serial indirect effect with larger attentional control acquisition in the training condition leading to negative attention bias reduction, in turn predicting greater reappraisal success which reduced negative emotions. Our results indicate that attentional mechanisms influence the use of reappraisal strategies and its impact on negative emotions. The novel attention training highlights the importance of tailored feedback to train attentional control. The findings provide an important step toward personalized delivery of attention training.","author":[{"dropping-particle":"","family":"Sanchez","given":"Alvaro","non-dropping-particle":"","parse-names":false,"suffix":""},{"dropping-particle":"","family":"Everaert","given":"Jonas","non-dropping-particle":"","parse-names":false,"suffix":""},{"dropping-particle":"","family":"Koster","given":"Ernst H.W.","non-dropping-particle":"","parse-names":false,"suffix":""}],"container-title":"Emotion","id":"ITEM-1","issue":"7","issued":{"date-parts":[["2016","10","1"]]},"page":"1074-1085","publisher":"American Psychological Association Inc.","title":"Attention training through gaze-contingent feedback: Effects on reappraisal and negative emotions","type":"article-journal","volume":"16"},"uris":["http://www.mendeley.com/documents/?uuid=4993a054-c116-38cc-aad8-ced3360d25a3"]},{"id":"ITEM-2","itemData":{"DOI":"10.1016/j.biopsycho.2019.01.017","abstract":"This study used a novel eye-gaze contingent attention training (ECAT) to test the prediction that attention regulation is involved in reappraisal and rumination. Sixty-six undergraduates were randomly assigned to either the control or the active training condition of the ECAT. Active ECAT comprised training in allocating attention toward positive words to efficiently create positive interpretations while receiving gaze-contingent feedback. Participants in the control condition freely generated interpretations without receiving gaze-contingent feedback. Active ECAT resulted in: 1) more sustained attention on positive information, in turn predicting greater reappraisal success to down-regulate negative emotions, and 2) larger reductions in state rumination after viewing negative scenes. Our results highlight the importance of considering attention mechanisms in understanding (and treating impaired) emotion regulation processes. These findings provide an important step towards the use of personalized attention training to build resources of resilience.","author":[{"dropping-particle":"","family":"Sanchez-Lopez","given":"Alvaro","non-dropping-particle":"","parse-names":false,"suffix":""},{"dropping-particle":"","family":"Everaert","given":"Jonas","non-dropping-particle":"","parse-names":false,"suffix":""},{"dropping-particle":"","family":"Put","given":"Jill","non-dropping-particle":"Van","parse-names":false,"suffix":""},{"dropping-particle":"","family":"Raedt","given":"Rudi","non-dropping-particle":"De","parse-names":false,"suffix":""},{"dropping-particle":"","family":"Koster","given":"Ernst H W","non-dropping-particle":"","parse-names":false,"suffix":""}],"id":"ITEM-2","issued":{"date-parts":[["2019"]]},"title":"Eye-gaze contingent attention training (ECAT): Examining the causal role of attention regulation in reappraisal and rumination","type":"article-journal"},"uris":["http://www.mendeley.com/documents/?uuid=fc042003-4b47-38ff-a0bc-71d5d4240ad3"]},{"id":"ITEM-3","itemData":{"DOI":"10.1016/j.brat.2019.04.005","abstract":"Stress dysregulation is a transdiagnostic marker of emotional disorders, related to biases in attention toward negative information. We adapted a computerized process-based training targeting these attention mechanisms through mouse-based contingency responses and examined its effects on reappraisal and rumination. Forty-one participants were randomly assigned to either a control or an active training condition of mouse-based contingent attention training (MCAT). Participants in the active condition were instructed to allocate attention toward positive words to generate positive interpretations, by using attention regulation while receiving contingent feedback on their attention to emotional words. Participants in the control condition freely generated interpretations without receiving contingent feedback. Transfer to reappraisal and state rumination was evaluated by administering an emotion regulation paradigm before and after the training. Mouse-based attention estimations showed a high degree of congruency with real eye/gaze-based attention estimations, as measured with eye-tracking performed in parallel. Furthermore, active MCAT resulted in several beneficial effects, including: 1) a higher attention toward positive over negative information; 2) an improved reappraisal ability to down-regulate negative emotions, and 3) a larger state rumination reduction in comparison to the control group. Our findings supports MCAT as a promising way to monitor and train attention, being an innovative instrument for online interventions aimed to improve stress regulation and resilience.","author":[{"dropping-particle":"","family":"Sanchez-Lopez","given":"Alvaro","non-dropping-particle":"","parse-names":false,"suffix":""},{"dropping-particle":"","family":"Raedt","given":"Rudi","non-dropping-particle":"De","parse-names":false,"suffix":""},{"dropping-particle":"","family":"Put","given":"Jill","non-dropping-particle":"Van","parse-names":false,"suffix":""},{"dropping-particle":"","family":"Koster","given":"Ernst H W","non-dropping-particle":"","parse-names":false,"suffix":""}],"id":"ITEM-3","issued":{"date-parts":[["2019"]]},"title":"A novel process-based approach to improve resilience: Effects of computerized mouse-based (gaze)contingent attention training (MCAT) on reappraisal and rumination","type":"article-journal"},"uris":["http://www.mendeley.com/documents/?uuid=24471d12-0465-34ba-9052-c807ad6e1d37"]}],"mendeley":{"formattedCitation":"(Sanchez-Lopez, De Raedt, Van Put, &amp; Koster, 2019; Sanchez-Lopez, Everaert, Van Put, De Raedt, &amp; Koster, 2019; Sanchez, Everaert, &amp; Koster, 2016)","manualFormatting":"Sanchez-Lopez, De Raedt, Van Put, &amp; Koster, 2019; Sanchez-Lopez, Everaert, Van Put, De Raedt, &amp; Koster, 2019; Sanchez, Everaert, &amp; Koster, 2016)","plainTextFormattedCitation":"(Sanchez-Lopez, De Raedt, Van Put, &amp; Koster, 2019; Sanchez-Lopez, Everaert, Van Put, De Raedt, &amp; Koster, 2019; Sanchez, Everaert, &amp; Koster, 2016)","previouslyFormattedCitation":"(Sanchez-Lopez, De Raedt, Van Put, &amp; Koster, 2019; Sanchez-Lopez, Everaert, Van Put, De Raedt, &amp; Koster, 2019; Sanchez, Everaert, &amp; Koster, 2016)"},"properties":{"noteIndex":0},"schema":"https://github.com/citation-style-language/schema/raw/master/csl-citation.json"}</w:instrText>
      </w:r>
      <w:r>
        <w:fldChar w:fldCharType="separate"/>
      </w:r>
      <w:r w:rsidRPr="006F176C">
        <w:rPr>
          <w:noProof/>
        </w:rPr>
        <w:t>Sanchez-Lopez, De Raedt, Van Put, &amp; Koster, 2019; Sanchez-Lopez, Everaert, Van Put, De Raedt, &amp; Koster, 2019; Sanchez, Everaert, &amp; Koster, 2016)</w:t>
      </w:r>
      <w:r>
        <w:fldChar w:fldCharType="end"/>
      </w:r>
      <w:r>
        <w:t xml:space="preserve">. This </w:t>
      </w:r>
      <w:r>
        <w:lastRenderedPageBreak/>
        <w:t xml:space="preserve">gaze-contingent feedback was designed to help participants select positive rather than negative information and thereby reduce negative and facilitate positive self-referential interpretation of target stimuli (i.e., scrambled sentences). They found that training led to (1) facilitated attention regulation, (2) improved reappraisal, and (3) reduced state rumination. </w:t>
      </w:r>
      <w:r w:rsidRPr="00111DDA">
        <w:t xml:space="preserve">Similarly, </w:t>
      </w:r>
      <w:proofErr w:type="spellStart"/>
      <w:r w:rsidRPr="00111DDA">
        <w:t>Lazarov</w:t>
      </w:r>
      <w:proofErr w:type="spellEnd"/>
      <w:r w:rsidRPr="00111DDA">
        <w:t xml:space="preserve">, Pine, and Bar-Haim (2017) </w:t>
      </w:r>
      <w:r>
        <w:t>used</w:t>
      </w:r>
      <w:r w:rsidRPr="00111DDA">
        <w:t xml:space="preserve"> real-time (trial-level) gaze-contingent feedback</w:t>
      </w:r>
      <w:r>
        <w:t>,</w:t>
      </w:r>
      <w:r w:rsidRPr="00111DDA">
        <w:t xml:space="preserve"> </w:t>
      </w:r>
      <w:r>
        <w:t>via</w:t>
      </w:r>
      <w:r w:rsidRPr="00111DDA">
        <w:t xml:space="preserve"> rewarding music</w:t>
      </w:r>
      <w:r>
        <w:t>,</w:t>
      </w:r>
      <w:r w:rsidRPr="00111DDA">
        <w:t xml:space="preserve"> to train attentional control. They reported that, relative to controls, real-time gaze-contingent feedback training led to reduced dwell time on </w:t>
      </w:r>
      <w:r>
        <w:t>threatening face stimuli</w:t>
      </w:r>
      <w:r w:rsidRPr="00111DDA">
        <w:t xml:space="preserve"> as well as </w:t>
      </w:r>
      <w:r>
        <w:t xml:space="preserve">reduced </w:t>
      </w:r>
      <w:r w:rsidRPr="00111DDA">
        <w:t>social anxiety outcomes.</w:t>
      </w:r>
    </w:p>
    <w:p w14:paraId="2BA8B1D2" w14:textId="77777777" w:rsidR="00174190" w:rsidRDefault="00174190" w:rsidP="003E7C69"/>
    <w:p w14:paraId="53C1032F" w14:textId="0E0F8ACB" w:rsidR="00174190" w:rsidRDefault="00B1316B" w:rsidP="00174190">
      <w:pPr>
        <w:rPr>
          <w:bCs/>
          <w:color w:val="0D0D0D"/>
        </w:rPr>
      </w:pPr>
      <w:r>
        <w:rPr>
          <w:bCs/>
          <w:color w:val="0D0D0D"/>
        </w:rPr>
        <w:t>Only externa</w:t>
      </w:r>
      <w:r w:rsidR="00CB7B06">
        <w:rPr>
          <w:bCs/>
          <w:color w:val="0D0D0D"/>
        </w:rPr>
        <w:t>l</w:t>
      </w:r>
      <w:r>
        <w:rPr>
          <w:bCs/>
          <w:color w:val="0D0D0D"/>
        </w:rPr>
        <w:t xml:space="preserve"> - </w:t>
      </w:r>
      <w:r>
        <w:rPr>
          <w:bCs/>
          <w:color w:val="0D0D0D"/>
        </w:rPr>
        <w:t xml:space="preserve">Yet, </w:t>
      </w:r>
      <w:r>
        <w:t>across these domains</w:t>
      </w:r>
      <w:r w:rsidRPr="00D07508">
        <w:t xml:space="preserve">, </w:t>
      </w:r>
      <w:r w:rsidRPr="00D07508">
        <w:rPr>
          <w:bCs/>
          <w:color w:val="0D0D0D"/>
        </w:rPr>
        <w:t xml:space="preserve">research to date </w:t>
      </w:r>
      <w:r w:rsidRPr="00B5579A">
        <w:rPr>
          <w:bCs/>
          <w:color w:val="0D0D0D"/>
        </w:rPr>
        <w:t>has been limited to</w:t>
      </w:r>
      <w:r w:rsidRPr="00D07508">
        <w:rPr>
          <w:bCs/>
          <w:color w:val="0D0D0D"/>
        </w:rPr>
        <w:t xml:space="preserve"> the role of meta-awareness </w:t>
      </w:r>
      <w:r w:rsidRPr="00B5579A">
        <w:rPr>
          <w:bCs/>
          <w:color w:val="0D0D0D"/>
        </w:rPr>
        <w:t>for</w:t>
      </w:r>
      <w:r w:rsidRPr="00D07508">
        <w:rPr>
          <w:bCs/>
          <w:color w:val="0D0D0D"/>
        </w:rPr>
        <w:t xml:space="preserve"> </w:t>
      </w:r>
      <w:r w:rsidRPr="00B5579A">
        <w:rPr>
          <w:bCs/>
          <w:i/>
          <w:iCs/>
          <w:color w:val="0D0D0D"/>
        </w:rPr>
        <w:t>external</w:t>
      </w:r>
      <w:r w:rsidRPr="00B5579A">
        <w:rPr>
          <w:bCs/>
          <w:color w:val="0D0D0D"/>
        </w:rPr>
        <w:t xml:space="preserve">, typically visual, </w:t>
      </w:r>
      <w:r w:rsidRPr="00D07508">
        <w:rPr>
          <w:bCs/>
          <w:color w:val="0D0D0D"/>
        </w:rPr>
        <w:t>attentional control</w:t>
      </w:r>
      <w:r w:rsidRPr="00B5579A">
        <w:rPr>
          <w:bCs/>
          <w:color w:val="0D0D0D"/>
        </w:rPr>
        <w:t>.</w:t>
      </w:r>
    </w:p>
    <w:p w14:paraId="665175BF" w14:textId="77777777" w:rsidR="00B1316B" w:rsidRDefault="00B1316B" w:rsidP="00174190"/>
    <w:p w14:paraId="65BBDDE4" w14:textId="34B359DD" w:rsidR="00174190" w:rsidRDefault="00174190" w:rsidP="003E7C69">
      <w:pPr>
        <w:rPr>
          <w:b/>
          <w:bCs/>
          <w:i/>
          <w:iCs/>
        </w:rPr>
      </w:pPr>
      <w:r>
        <w:rPr>
          <w:b/>
          <w:bCs/>
          <w:i/>
          <w:iCs/>
        </w:rPr>
        <w:t>On external and internal:</w:t>
      </w:r>
    </w:p>
    <w:p w14:paraId="7C3A8BE4" w14:textId="77777777" w:rsidR="00174190" w:rsidRDefault="00174190" w:rsidP="00174190">
      <w:pPr>
        <w:contextualSpacing/>
        <w:jc w:val="both"/>
        <w:outlineLvl w:val="0"/>
        <w:rPr>
          <w:bCs/>
          <w:color w:val="0D0D0D"/>
        </w:rPr>
      </w:pPr>
      <w:r w:rsidRPr="00B5579A">
        <w:rPr>
          <w:bCs/>
          <w:color w:val="0D0D0D"/>
        </w:rPr>
        <w:t xml:space="preserve">External attention </w:t>
      </w:r>
      <w:r>
        <w:rPr>
          <w:bCs/>
          <w:color w:val="0D0D0D"/>
        </w:rPr>
        <w:t>refers to</w:t>
      </w:r>
      <w:r w:rsidRPr="006E2986">
        <w:rPr>
          <w:bCs/>
          <w:color w:val="0D0D0D"/>
        </w:rPr>
        <w:t xml:space="preserve"> sensory-perceptual processing of objects in our environment</w:t>
      </w:r>
      <w:r>
        <w:rPr>
          <w:bCs/>
          <w:color w:val="0D0D0D"/>
        </w:rPr>
        <w:t>,</w:t>
      </w:r>
      <w:r w:rsidRPr="006E2986">
        <w:rPr>
          <w:bCs/>
          <w:color w:val="0D0D0D"/>
        </w:rPr>
        <w:t xml:space="preserve"> such as via vision </w:t>
      </w:r>
      <w:r>
        <w:rPr>
          <w:bCs/>
          <w:color w:val="0D0D0D"/>
        </w:rPr>
        <w:t>(</w:t>
      </w:r>
      <w:r w:rsidRPr="006E2986">
        <w:rPr>
          <w:bCs/>
          <w:color w:val="0D0D0D"/>
        </w:rPr>
        <w:t xml:space="preserve">Amir, </w:t>
      </w:r>
      <w:proofErr w:type="spellStart"/>
      <w:r w:rsidRPr="006E2986">
        <w:rPr>
          <w:bCs/>
          <w:color w:val="0D0D0D"/>
        </w:rPr>
        <w:t>Ruimi</w:t>
      </w:r>
      <w:proofErr w:type="spellEnd"/>
      <w:r w:rsidRPr="006E2986">
        <w:rPr>
          <w:bCs/>
          <w:color w:val="0D0D0D"/>
        </w:rPr>
        <w:t xml:space="preserve">, &amp; Bernstein, submitted; Chun, </w:t>
      </w:r>
      <w:proofErr w:type="spellStart"/>
      <w:r w:rsidRPr="006E2986">
        <w:rPr>
          <w:bCs/>
          <w:color w:val="0D0D0D"/>
        </w:rPr>
        <w:t>Golomb</w:t>
      </w:r>
      <w:proofErr w:type="spellEnd"/>
      <w:r w:rsidRPr="006E2986">
        <w:rPr>
          <w:bCs/>
          <w:color w:val="0D0D0D"/>
        </w:rPr>
        <w:t xml:space="preserve">, &amp; Turk-Browne, 2011; Dixon et al., 2014; Gazzaley &amp; </w:t>
      </w:r>
      <w:proofErr w:type="spellStart"/>
      <w:r w:rsidRPr="006E2986">
        <w:rPr>
          <w:bCs/>
          <w:color w:val="0D0D0D"/>
        </w:rPr>
        <w:t>Nobre</w:t>
      </w:r>
      <w:proofErr w:type="spellEnd"/>
      <w:r w:rsidRPr="006E2986">
        <w:rPr>
          <w:bCs/>
          <w:color w:val="0D0D0D"/>
        </w:rPr>
        <w:t>, 2012)</w:t>
      </w:r>
      <w:r>
        <w:rPr>
          <w:bCs/>
          <w:color w:val="0D0D0D"/>
        </w:rPr>
        <w:t>. Yet, meta-awareness may also involve monitoring and control of</w:t>
      </w:r>
      <w:r w:rsidRPr="000756C7">
        <w:rPr>
          <w:bCs/>
          <w:color w:val="0D0D0D"/>
        </w:rPr>
        <w:t xml:space="preserve"> </w:t>
      </w:r>
      <w:r w:rsidRPr="000756C7">
        <w:rPr>
          <w:i/>
          <w:iCs/>
        </w:rPr>
        <w:t>internal</w:t>
      </w:r>
      <w:r>
        <w:rPr>
          <w:i/>
          <w:iCs/>
        </w:rPr>
        <w:t xml:space="preserve"> attention</w:t>
      </w:r>
      <w:r>
        <w:rPr>
          <w:bCs/>
          <w:color w:val="0D0D0D"/>
        </w:rPr>
        <w:t xml:space="preserve"> – the selection and modulation </w:t>
      </w:r>
      <w:r w:rsidRPr="000756C7">
        <w:rPr>
          <w:bCs/>
          <w:color w:val="0D0D0D"/>
        </w:rPr>
        <w:t>of information stored in the mind</w:t>
      </w:r>
      <w:r>
        <w:rPr>
          <w:bCs/>
          <w:color w:val="0D0D0D"/>
        </w:rPr>
        <w:t xml:space="preserve">, </w:t>
      </w:r>
      <w:r w:rsidRPr="00B56A93">
        <w:rPr>
          <w:bCs/>
          <w:color w:val="0D0D0D"/>
        </w:rPr>
        <w:t>recalled from long-term or active in working memory</w:t>
      </w:r>
      <w:r w:rsidRPr="000756C7">
        <w:rPr>
          <w:bCs/>
          <w:color w:val="0D0D0D"/>
        </w:rPr>
        <w:t xml:space="preserve"> </w:t>
      </w:r>
      <w:r>
        <w:rPr>
          <w:bCs/>
          <w:color w:val="0D0D0D"/>
        </w:rPr>
        <w:t>(</w:t>
      </w:r>
      <w:r w:rsidRPr="000756C7">
        <w:rPr>
          <w:bCs/>
          <w:color w:val="0D0D0D"/>
        </w:rPr>
        <w:t xml:space="preserve">Amir, </w:t>
      </w:r>
      <w:proofErr w:type="spellStart"/>
      <w:r w:rsidRPr="000756C7">
        <w:rPr>
          <w:bCs/>
          <w:color w:val="0D0D0D"/>
        </w:rPr>
        <w:t>Ruimi</w:t>
      </w:r>
      <w:proofErr w:type="spellEnd"/>
      <w:r w:rsidRPr="000756C7">
        <w:rPr>
          <w:bCs/>
          <w:color w:val="0D0D0D"/>
        </w:rPr>
        <w:t xml:space="preserve">, &amp; Bernstein, submitted; Chun et al., 2011; Klinger, 1978; </w:t>
      </w:r>
      <w:proofErr w:type="spellStart"/>
      <w:r w:rsidRPr="000756C7">
        <w:rPr>
          <w:bCs/>
          <w:color w:val="0D0D0D"/>
        </w:rPr>
        <w:t>Zabelina</w:t>
      </w:r>
      <w:proofErr w:type="spellEnd"/>
      <w:r w:rsidRPr="000756C7">
        <w:rPr>
          <w:bCs/>
          <w:color w:val="0D0D0D"/>
        </w:rPr>
        <w:t xml:space="preserve"> &amp; Andrews-Hanna, 2016).</w:t>
      </w:r>
      <w:r>
        <w:rPr>
          <w:bCs/>
          <w:color w:val="0D0D0D"/>
        </w:rPr>
        <w:t xml:space="preserve"> </w:t>
      </w:r>
      <w:r w:rsidRPr="001F5D4A">
        <w:rPr>
          <w:bCs/>
          <w:color w:val="0D0D0D"/>
        </w:rPr>
        <w:t xml:space="preserve"> </w:t>
      </w:r>
    </w:p>
    <w:p w14:paraId="5F8B409C" w14:textId="769A70C7" w:rsidR="00174190" w:rsidRDefault="00174190" w:rsidP="003E7C69">
      <w:pPr>
        <w:rPr>
          <w:b/>
          <w:bCs/>
          <w:i/>
          <w:iCs/>
        </w:rPr>
      </w:pPr>
    </w:p>
    <w:p w14:paraId="4D2ECFC9" w14:textId="7535DCB1" w:rsidR="00F8421A" w:rsidRPr="00AF3F12" w:rsidRDefault="00AF3F12" w:rsidP="00F8421A">
      <w:pPr>
        <w:rPr>
          <w:b/>
          <w:bCs/>
        </w:rPr>
      </w:pPr>
      <w:r>
        <w:rPr>
          <w:b/>
          <w:bCs/>
        </w:rPr>
        <w:t>Interna attention</w:t>
      </w:r>
      <w:r w:rsidR="00F8421A">
        <w:rPr>
          <w:b/>
          <w:bCs/>
        </w:rPr>
        <w:t>:</w:t>
      </w:r>
    </w:p>
    <w:p w14:paraId="3C8440BC" w14:textId="77777777" w:rsidR="00AF3F12" w:rsidRDefault="00AF3F12">
      <w:r>
        <w:rPr>
          <w:i/>
          <w:iCs/>
        </w:rPr>
        <w:t>Internal attention</w:t>
      </w:r>
      <w:r>
        <w:t xml:space="preserve"> is the processing of information stored in the mind, recalled from long-term or active in working memory </w:t>
      </w:r>
      <w:r>
        <w:fldChar w:fldCharType="begin" w:fldLock="1"/>
      </w:r>
      <w:r>
        <w:instrText>ADDIN CSL_CITATION {"citationItems":[{"id":"ITEM-1","itemData":{"DOI":"10.1146/annurev.psych.093008.100427","ISBN":"1545-2085 (Electronic)\\n0066-4308 (Linking)","ISSN":"0066-4308","PMID":"19575619","abstract":"Attention is a core property of all perceptual and cognitive operations. Given limited capacity to process competing options, attentional mechanisms select, modulate, and sustain focus on information most relevant for behavior. A significant problem, however, is that attention is so ubiquitous that it is unwieldy to study. We propose a taxonomy based on the types of information that attention operates over?the targets of attention. At the broadest level, the taxonomy distinguishes between external attention and internal attention. External attention refers to the selection and modulation of sensory information. External attention selects locations in space, points in time, or modality-specific input. Such perceptual attention can also select features defined across any of these dimensions, or object representations that integrate over space, time, and modality. Internal attention refers to the selection, modulation, and maintenance of internally generated information, such as task rules, responses, long-term memory, or working memory. Working memory, in particular, lies closest to the intersection between external and internal attention. The taxonomy provides an organizing framework that recasts classic debates, raises new issues, and frames understanding of neural mechanisms.","author":[{"dropping-particle":"","family":"Chun","given":"Marvin M.","non-dropping-particle":"","parse-names":false,"suffix":""},{"dropping-particle":"","family":"Golomb","given":"Julie D.","non-dropping-particle":"","parse-names":false,"suffix":""},{"dropping-particle":"","family":"Turk-Browne","given":"Nicholas B.","non-dropping-particle":"","parse-names":false,"suffix":""}],"container-title":"Annual Review of Psychology","id":"ITEM-1","issue":"1","issued":{"date-parts":[["2010","12","2"]]},"note":"From Duplicate 2 (A Taxonomy of External and Internal Attention - Chun, Marvin M; Golomb, Julie D; Turk-Browne, Nicholas B)\n\ndoi: 10.1146/annurev.psych.093008.100427","page":"73-101","publisher":"Annual Reviews","title":"A Taxonomy of External and Internal Attention","type":"article-journal","volume":"62"},"uris":["http://www.mendeley.com/documents/?uuid=57481f42-eb35-4772-98db-88720643a2c4"]}],"mendeley":{"formattedCitation":"(Chun et al., 2010)","plainTextFormattedCitation":"(Chun et al., 2010)","previouslyFormattedCitation":"(Chun et al., 2010)"},"properties":{"noteIndex":0},"schema":"https://github.com/citation-style-language/schema/raw/master/csl-citation.json"}</w:instrText>
      </w:r>
      <w:r>
        <w:fldChar w:fldCharType="separate"/>
      </w:r>
      <w:r>
        <w:rPr>
          <w:noProof/>
        </w:rPr>
        <w:t>(</w:t>
      </w:r>
      <w:r>
        <w:rPr>
          <w:noProof/>
        </w:rPr>
        <w:t xml:space="preserve">Amier et al., submitted; </w:t>
      </w:r>
      <w:r>
        <w:rPr>
          <w:noProof/>
        </w:rPr>
        <w:t>Chun et al., 2010)</w:t>
      </w:r>
      <w:r>
        <w:fldChar w:fldCharType="end"/>
      </w:r>
      <w:r>
        <w:t xml:space="preserve">. </w:t>
      </w:r>
    </w:p>
    <w:p w14:paraId="72BE6B83" w14:textId="38B443D1" w:rsidR="00174190" w:rsidRDefault="00AF3F12">
      <w:r w:rsidRPr="00E66A14">
        <w:rPr>
          <w:bCs/>
          <w:color w:val="0D0D0D"/>
        </w:rPr>
        <w:t>Just as external attention determines which information from the environment reaches</w:t>
      </w:r>
      <w:r w:rsidRPr="00627E60">
        <w:rPr>
          <w:bCs/>
          <w:color w:val="0D0D0D"/>
        </w:rPr>
        <w:t xml:space="preserve"> awareness </w:t>
      </w:r>
      <w:r w:rsidRPr="00C84955">
        <w:rPr>
          <w:bCs/>
          <w:color w:val="0D0D0D"/>
        </w:rPr>
        <w:t>(Posner, 1994), internal attention determines which internal representations reach awareness (</w:t>
      </w:r>
      <w:proofErr w:type="spellStart"/>
      <w:r w:rsidRPr="00C84955">
        <w:rPr>
          <w:bCs/>
          <w:color w:val="0D0D0D"/>
        </w:rPr>
        <w:t>Verschooren</w:t>
      </w:r>
      <w:proofErr w:type="spellEnd"/>
      <w:r w:rsidRPr="00C84955">
        <w:rPr>
          <w:bCs/>
          <w:color w:val="0D0D0D"/>
        </w:rPr>
        <w:t xml:space="preserve">, Schindler, De </w:t>
      </w:r>
      <w:proofErr w:type="spellStart"/>
      <w:r w:rsidRPr="00C84955">
        <w:rPr>
          <w:bCs/>
          <w:color w:val="0D0D0D"/>
        </w:rPr>
        <w:t>Raedt</w:t>
      </w:r>
      <w:proofErr w:type="spellEnd"/>
      <w:r w:rsidRPr="00C84955">
        <w:rPr>
          <w:bCs/>
          <w:color w:val="0D0D0D"/>
        </w:rPr>
        <w:t xml:space="preserve">, &amp; </w:t>
      </w:r>
      <w:proofErr w:type="spellStart"/>
      <w:r w:rsidRPr="00C84955">
        <w:rPr>
          <w:bCs/>
          <w:color w:val="0D0D0D"/>
        </w:rPr>
        <w:t>Pourtois</w:t>
      </w:r>
      <w:proofErr w:type="spellEnd"/>
      <w:r w:rsidRPr="00C84955">
        <w:rPr>
          <w:bCs/>
          <w:color w:val="0D0D0D"/>
        </w:rPr>
        <w:t>, 2019).</w:t>
      </w:r>
      <w:r>
        <w:rPr>
          <w:bCs/>
          <w:color w:val="0D0D0D"/>
        </w:rPr>
        <w:t xml:space="preserve"> Accordingly</w:t>
      </w:r>
      <w:r w:rsidRPr="00BD05F9">
        <w:rPr>
          <w:bCs/>
          <w:color w:val="0D0D0D"/>
        </w:rPr>
        <w:t xml:space="preserve">, internal attention </w:t>
      </w:r>
      <w:r w:rsidRPr="00E66A14">
        <w:rPr>
          <w:bCs/>
          <w:color w:val="0D0D0D"/>
        </w:rPr>
        <w:t xml:space="preserve">may be important for understanding </w:t>
      </w:r>
      <w:r>
        <w:rPr>
          <w:bCs/>
          <w:color w:val="0D0D0D"/>
        </w:rPr>
        <w:t xml:space="preserve">a variety of mental </w:t>
      </w:r>
      <w:r w:rsidRPr="00E66A14">
        <w:rPr>
          <w:bCs/>
          <w:color w:val="0D0D0D"/>
        </w:rPr>
        <w:t xml:space="preserve">phenomena </w:t>
      </w:r>
      <w:r>
        <w:rPr>
          <w:bCs/>
          <w:color w:val="0D0D0D"/>
        </w:rPr>
        <w:t xml:space="preserve">quintessential to human mental life, </w:t>
      </w:r>
      <w:r w:rsidRPr="00E66A14">
        <w:rPr>
          <w:bCs/>
          <w:color w:val="0D0D0D"/>
        </w:rPr>
        <w:t xml:space="preserve">such as </w:t>
      </w:r>
      <w:proofErr w:type="spellStart"/>
      <w:r w:rsidRPr="00E66A14">
        <w:rPr>
          <w:bCs/>
          <w:color w:val="0D0D0D"/>
        </w:rPr>
        <w:t>mindwandering</w:t>
      </w:r>
      <w:proofErr w:type="spellEnd"/>
      <w:r w:rsidRPr="00E66A14">
        <w:rPr>
          <w:bCs/>
          <w:color w:val="0D0D0D"/>
        </w:rPr>
        <w:t xml:space="preserve">, mindfulness </w:t>
      </w:r>
      <w:r w:rsidRPr="00627E60">
        <w:rPr>
          <w:bCs/>
          <w:color w:val="0D0D0D"/>
        </w:rPr>
        <w:t>and spontan</w:t>
      </w:r>
      <w:r w:rsidRPr="00C84955">
        <w:rPr>
          <w:bCs/>
          <w:color w:val="0D0D0D"/>
        </w:rPr>
        <w:t>eous thought</w:t>
      </w:r>
      <w:r>
        <w:rPr>
          <w:bCs/>
          <w:color w:val="0D0D0D"/>
        </w:rPr>
        <w:t xml:space="preserve"> </w:t>
      </w:r>
      <w:r w:rsidR="00174190">
        <w:br w:type="page"/>
      </w:r>
    </w:p>
    <w:p w14:paraId="6B1020BE" w14:textId="0AA7FFD9" w:rsidR="00174190" w:rsidRPr="00174190" w:rsidRDefault="00174190" w:rsidP="00035A54">
      <w:pPr>
        <w:ind w:left="360"/>
        <w:rPr>
          <w:b/>
          <w:bCs/>
          <w:i/>
          <w:iCs/>
        </w:rPr>
      </w:pPr>
      <w:r>
        <w:rPr>
          <w:b/>
          <w:bCs/>
          <w:i/>
          <w:iCs/>
        </w:rPr>
        <w:lastRenderedPageBreak/>
        <w:t>Amit’s guidelines:</w:t>
      </w:r>
    </w:p>
    <w:p w14:paraId="5A36BB3D" w14:textId="4B8FE9FB" w:rsidR="00221057" w:rsidRDefault="000850FB" w:rsidP="00035A54">
      <w:pPr>
        <w:ind w:left="360"/>
      </w:pPr>
      <w:r>
        <w:t>Aims</w:t>
      </w:r>
    </w:p>
    <w:p w14:paraId="6FCA258B" w14:textId="7C52A185" w:rsidR="000850FB" w:rsidRDefault="000850FB" w:rsidP="000850FB">
      <w:pPr>
        <w:pStyle w:val="ListParagraph"/>
        <w:numPr>
          <w:ilvl w:val="1"/>
          <w:numId w:val="1"/>
        </w:numPr>
      </w:pPr>
      <w:r>
        <w:t>For each aim why it is important (what are the hypotheses underlying this statement)</w:t>
      </w:r>
    </w:p>
    <w:p w14:paraId="3524DEA8" w14:textId="795F5F79" w:rsidR="000850FB" w:rsidRDefault="000850FB" w:rsidP="000850FB">
      <w:pPr>
        <w:pStyle w:val="ListParagraph"/>
        <w:numPr>
          <w:ilvl w:val="0"/>
          <w:numId w:val="1"/>
        </w:numPr>
      </w:pPr>
      <w:r>
        <w:t>Bullet points</w:t>
      </w:r>
    </w:p>
    <w:p w14:paraId="2C3C5AC5" w14:textId="363C393D" w:rsidR="000850FB" w:rsidRDefault="000850FB" w:rsidP="000850FB">
      <w:pPr>
        <w:pStyle w:val="ListParagraph"/>
        <w:numPr>
          <w:ilvl w:val="0"/>
          <w:numId w:val="1"/>
        </w:numPr>
      </w:pPr>
      <w:r>
        <w:t>The critical gaps limitation – what is missing in the literature that</w:t>
      </w:r>
    </w:p>
    <w:p w14:paraId="3F6CA523" w14:textId="5ADEA4DC" w:rsidR="000850FB" w:rsidRDefault="000850FB" w:rsidP="000850FB">
      <w:pPr>
        <w:pStyle w:val="ListParagraph"/>
        <w:numPr>
          <w:ilvl w:val="1"/>
          <w:numId w:val="1"/>
        </w:numPr>
      </w:pPr>
      <w:r>
        <w:t>wasn’t asked</w:t>
      </w:r>
    </w:p>
    <w:p w14:paraId="21B948C2" w14:textId="2A676829" w:rsidR="000850FB" w:rsidRDefault="000850FB" w:rsidP="000850FB">
      <w:pPr>
        <w:pStyle w:val="ListParagraph"/>
        <w:numPr>
          <w:ilvl w:val="1"/>
          <w:numId w:val="1"/>
        </w:numPr>
      </w:pPr>
      <w:r>
        <w:t>doesn’t have answer</w:t>
      </w:r>
    </w:p>
    <w:p w14:paraId="18A2E602" w14:textId="06AD9A63" w:rsidR="000850FB" w:rsidRDefault="004525EE" w:rsidP="000850FB">
      <w:pPr>
        <w:pStyle w:val="ListParagraph"/>
        <w:numPr>
          <w:ilvl w:val="1"/>
          <w:numId w:val="1"/>
        </w:numPr>
      </w:pPr>
      <w:r>
        <w:t>has</w:t>
      </w:r>
      <w:r w:rsidR="000850FB">
        <w:t xml:space="preserve"> answer but the answer</w:t>
      </w:r>
      <w:r>
        <w:t>s</w:t>
      </w:r>
      <w:r w:rsidR="000850FB">
        <w:t xml:space="preserve"> </w:t>
      </w:r>
      <w:r>
        <w:t>have</w:t>
      </w:r>
      <w:r w:rsidR="000850FB">
        <w:t xml:space="preserve"> problems</w:t>
      </w:r>
    </w:p>
    <w:p w14:paraId="5C6D3A20" w14:textId="2DDF7E46" w:rsidR="000850FB" w:rsidRDefault="004525EE" w:rsidP="000850FB">
      <w:pPr>
        <w:pStyle w:val="ListParagraph"/>
        <w:numPr>
          <w:ilvl w:val="1"/>
          <w:numId w:val="1"/>
        </w:numPr>
      </w:pPr>
      <w:r>
        <w:t xml:space="preserve">have </w:t>
      </w:r>
      <w:r w:rsidR="000850FB">
        <w:t>answers but only a few.</w:t>
      </w:r>
    </w:p>
    <w:p w14:paraId="0B0B3BB0" w14:textId="48FD8436" w:rsidR="000850FB" w:rsidRDefault="000850FB" w:rsidP="000850FB">
      <w:pPr>
        <w:pStyle w:val="ListParagraph"/>
      </w:pPr>
    </w:p>
    <w:p w14:paraId="40C5EB13" w14:textId="5B001406" w:rsidR="000850FB" w:rsidRDefault="00B66A79" w:rsidP="00B66A79">
      <w:r>
        <w:t xml:space="preserve">What are my targets and what are the target to the </w:t>
      </w:r>
      <w:r w:rsidR="004525EE">
        <w:t>audience?</w:t>
      </w:r>
    </w:p>
    <w:p w14:paraId="01CC9AA7" w14:textId="6E129BA8" w:rsidR="00B66A79" w:rsidRDefault="00B66A79" w:rsidP="00B66A79">
      <w:pPr>
        <w:pStyle w:val="ListParagraph"/>
        <w:numPr>
          <w:ilvl w:val="0"/>
          <w:numId w:val="5"/>
        </w:numPr>
      </w:pPr>
      <w:r>
        <w:t>I want others to understand why I’m doing what I’m doing</w:t>
      </w:r>
    </w:p>
    <w:p w14:paraId="4C878108" w14:textId="515409D5" w:rsidR="00B66A79" w:rsidRDefault="00B66A79" w:rsidP="00B66A79">
      <w:pPr>
        <w:pStyle w:val="ListParagraph"/>
        <w:numPr>
          <w:ilvl w:val="0"/>
          <w:numId w:val="5"/>
        </w:numPr>
      </w:pPr>
      <w:r>
        <w:t>We know -a b c , we tried d, lets test e</w:t>
      </w:r>
    </w:p>
    <w:p w14:paraId="200A0A98" w14:textId="31E266AC" w:rsidR="004525EE" w:rsidRDefault="004525EE" w:rsidP="00B66A79">
      <w:pPr>
        <w:pStyle w:val="ListParagraph"/>
        <w:numPr>
          <w:ilvl w:val="0"/>
          <w:numId w:val="5"/>
        </w:numPr>
      </w:pPr>
      <w:r>
        <w:t xml:space="preserve">I want to talk a lot about the </w:t>
      </w:r>
      <w:r w:rsidR="00035A54">
        <w:t>design</w:t>
      </w:r>
    </w:p>
    <w:p w14:paraId="4267626B" w14:textId="67C5F3EA" w:rsidR="004525EE" w:rsidRDefault="004525EE" w:rsidP="004525EE">
      <w:pPr>
        <w:pStyle w:val="ListParagraph"/>
        <w:numPr>
          <w:ilvl w:val="1"/>
          <w:numId w:val="5"/>
        </w:numPr>
      </w:pPr>
      <w:r>
        <w:t xml:space="preserve">Amount order? </w:t>
      </w:r>
    </w:p>
    <w:p w14:paraId="302B4AE0" w14:textId="08376F56" w:rsidR="004525EE" w:rsidRDefault="004525EE" w:rsidP="004525EE">
      <w:pPr>
        <w:pStyle w:val="ListParagraph"/>
        <w:numPr>
          <w:ilvl w:val="1"/>
          <w:numId w:val="5"/>
        </w:numPr>
      </w:pPr>
      <w:r>
        <w:t>Number of trials?</w:t>
      </w:r>
    </w:p>
    <w:p w14:paraId="26C8B1F0" w14:textId="333A9EB7" w:rsidR="004525EE" w:rsidRDefault="004525EE" w:rsidP="004525EE">
      <w:pPr>
        <w:pStyle w:val="ListParagraph"/>
        <w:numPr>
          <w:ilvl w:val="1"/>
          <w:numId w:val="5"/>
        </w:numPr>
      </w:pPr>
      <w:r>
        <w:t>BMM – ideas?</w:t>
      </w:r>
    </w:p>
    <w:p w14:paraId="541B3F59" w14:textId="77777777" w:rsidR="004525EE" w:rsidRDefault="004525EE" w:rsidP="000850FB"/>
    <w:p w14:paraId="15891C8A" w14:textId="6AE7A7BF" w:rsidR="000850FB" w:rsidRDefault="000850FB" w:rsidP="000850FB">
      <w:r>
        <w:t>My project</w:t>
      </w:r>
    </w:p>
    <w:p w14:paraId="008B49A9" w14:textId="434DBF42" w:rsidR="00446599" w:rsidRDefault="00446599" w:rsidP="000850FB">
      <w:r>
        <w:t>Put power point on the side – and write a week.</w:t>
      </w:r>
    </w:p>
    <w:p w14:paraId="0EAAC3B5" w14:textId="7E94DA55" w:rsidR="000850FB" w:rsidRDefault="000850FB" w:rsidP="000850FB">
      <w:pPr>
        <w:pStyle w:val="ListParagraph"/>
        <w:numPr>
          <w:ilvl w:val="0"/>
          <w:numId w:val="3"/>
        </w:numPr>
      </w:pPr>
      <w:r>
        <w:t>What we don’t now on awareness AND control</w:t>
      </w:r>
    </w:p>
    <w:p w14:paraId="2F88EA36" w14:textId="65A40A52" w:rsidR="00485169" w:rsidRDefault="00485169" w:rsidP="000850FB">
      <w:pPr>
        <w:pStyle w:val="ListParagraph"/>
        <w:numPr>
          <w:ilvl w:val="0"/>
          <w:numId w:val="3"/>
        </w:numPr>
      </w:pPr>
      <w:r>
        <w:t xml:space="preserve">Internal MAB + </w:t>
      </w:r>
      <w:proofErr w:type="spellStart"/>
      <w:r>
        <w:t>Iftach</w:t>
      </w:r>
      <w:proofErr w:type="spellEnd"/>
      <w:r>
        <w:t xml:space="preserve"> </w:t>
      </w:r>
      <w:proofErr w:type="spellStart"/>
      <w:r>
        <w:t>underreview</w:t>
      </w:r>
      <w:proofErr w:type="spellEnd"/>
      <w:r w:rsidR="00CE4A8A">
        <w:t>,</w:t>
      </w:r>
      <w:r>
        <w:t xml:space="preserve"> </w:t>
      </w:r>
      <w:proofErr w:type="spellStart"/>
      <w:r w:rsidR="00CE4A8A">
        <w:t>Afact</w:t>
      </w:r>
      <w:proofErr w:type="spellEnd"/>
      <w:r w:rsidR="00CE4A8A">
        <w:t xml:space="preserve">-last paper, </w:t>
      </w:r>
      <w:proofErr w:type="spellStart"/>
      <w:r w:rsidR="00CE4A8A">
        <w:t>iftach</w:t>
      </w:r>
      <w:proofErr w:type="spellEnd"/>
      <w:r w:rsidR="00CE4A8A">
        <w:t xml:space="preserve"> model (</w:t>
      </w:r>
      <w:proofErr w:type="spellStart"/>
      <w:r w:rsidR="00CE4A8A">
        <w:t>liad</w:t>
      </w:r>
      <w:proofErr w:type="spellEnd"/>
      <w:r w:rsidR="00CE4A8A">
        <w:t xml:space="preserve"> first author +</w:t>
      </w:r>
      <w:r w:rsidR="004525EE">
        <w:t xml:space="preserve"> </w:t>
      </w:r>
      <w:proofErr w:type="spellStart"/>
      <w:r w:rsidR="00CE4A8A">
        <w:t>mab</w:t>
      </w:r>
      <w:proofErr w:type="spellEnd"/>
      <w:r w:rsidR="00CE4A8A">
        <w:t>)</w:t>
      </w:r>
    </w:p>
    <w:p w14:paraId="4A4FEC8E" w14:textId="7FCE0A0C" w:rsidR="00CE4A8A" w:rsidRDefault="00CE4A8A" w:rsidP="00CE4A8A">
      <w:pPr>
        <w:pStyle w:val="ListParagraph"/>
        <w:numPr>
          <w:ilvl w:val="1"/>
          <w:numId w:val="3"/>
        </w:numPr>
      </w:pPr>
      <w:r>
        <w:t xml:space="preserve">Omer send me the most updated </w:t>
      </w:r>
    </w:p>
    <w:p w14:paraId="6C73A5B9" w14:textId="0AA3410D" w:rsidR="00CE4A8A" w:rsidRDefault="00CE4A8A" w:rsidP="004525EE">
      <w:pPr>
        <w:pStyle w:val="ListParagraph"/>
        <w:numPr>
          <w:ilvl w:val="1"/>
          <w:numId w:val="3"/>
        </w:numPr>
      </w:pPr>
      <w:r>
        <w:t xml:space="preserve">Amit sending me it </w:t>
      </w:r>
    </w:p>
    <w:p w14:paraId="34035016" w14:textId="373FDB45" w:rsidR="004525EE" w:rsidRDefault="004525EE" w:rsidP="004525EE"/>
    <w:p w14:paraId="27CBAE99" w14:textId="4648DE99" w:rsidR="004525EE" w:rsidRDefault="004525EE" w:rsidP="004525EE">
      <w:pPr>
        <w:pStyle w:val="ListParagraph"/>
        <w:numPr>
          <w:ilvl w:val="0"/>
          <w:numId w:val="5"/>
        </w:numPr>
      </w:pPr>
      <w:r>
        <w:t>Experimentally manipulating meta-</w:t>
      </w:r>
      <w:r w:rsidR="00035A54">
        <w:t>awareness</w:t>
      </w:r>
      <w:r>
        <w:t xml:space="preserve"> in order to test if its </w:t>
      </w:r>
      <w:r w:rsidR="00035A54">
        <w:t>malleable</w:t>
      </w:r>
      <w:r>
        <w:t xml:space="preserve"> and</w:t>
      </w:r>
    </w:p>
    <w:p w14:paraId="298C1B48" w14:textId="2C23A084" w:rsidR="004525EE" w:rsidRDefault="004525EE" w:rsidP="004525EE">
      <w:pPr>
        <w:pStyle w:val="ListParagraph"/>
        <w:numPr>
          <w:ilvl w:val="0"/>
          <w:numId w:val="5"/>
        </w:numPr>
      </w:pPr>
      <w:r>
        <w:t>Does incrementing it have impact on attentional control</w:t>
      </w:r>
      <w:r w:rsidR="00035A54">
        <w:t xml:space="preserve"> (disengaging internal attention – like from negative thoughts and re-engaging)</w:t>
      </w:r>
    </w:p>
    <w:p w14:paraId="749A9FE1" w14:textId="54C71438" w:rsidR="00035A54" w:rsidRDefault="00035A54" w:rsidP="00035A54">
      <w:pPr>
        <w:pStyle w:val="ListParagraph"/>
        <w:numPr>
          <w:ilvl w:val="0"/>
          <w:numId w:val="5"/>
        </w:numPr>
      </w:pPr>
      <w:r>
        <w:t>And We don’t have internal AFACT and BMM</w:t>
      </w:r>
    </w:p>
    <w:p w14:paraId="4DBFFCDE" w14:textId="77777777" w:rsidR="004525EE" w:rsidRDefault="004525EE" w:rsidP="004525EE"/>
    <w:p w14:paraId="4A155713" w14:textId="075A5392" w:rsidR="00CE4A8A" w:rsidRDefault="00CE4A8A" w:rsidP="00CE4A8A">
      <w:pPr>
        <w:pStyle w:val="ListParagraph"/>
        <w:numPr>
          <w:ilvl w:val="0"/>
          <w:numId w:val="4"/>
        </w:numPr>
      </w:pPr>
      <w:r>
        <w:t>What is my question:</w:t>
      </w:r>
    </w:p>
    <w:p w14:paraId="2F44CCD3" w14:textId="5B1FCE57" w:rsidR="00CE4A8A" w:rsidRDefault="00CE4A8A" w:rsidP="00CE4A8A">
      <w:pPr>
        <w:pStyle w:val="ListParagraph"/>
        <w:numPr>
          <w:ilvl w:val="0"/>
          <w:numId w:val="4"/>
        </w:numPr>
      </w:pPr>
      <w:r>
        <w:t xml:space="preserve">My addition over former work – </w:t>
      </w:r>
    </w:p>
    <w:p w14:paraId="291D1A96" w14:textId="1E646563" w:rsidR="00CE4A8A" w:rsidRDefault="00CE4A8A" w:rsidP="00CE4A8A">
      <w:pPr>
        <w:pStyle w:val="ListParagraph"/>
        <w:numPr>
          <w:ilvl w:val="0"/>
          <w:numId w:val="4"/>
        </w:numPr>
      </w:pPr>
      <w:r>
        <w:t>Mindfulness – is doing the exact same thing.</w:t>
      </w:r>
    </w:p>
    <w:p w14:paraId="5C73CC9E" w14:textId="7FAB3B16" w:rsidR="00620CE9" w:rsidRDefault="00620CE9" w:rsidP="00620CE9">
      <w:pPr>
        <w:pStyle w:val="ListParagraph"/>
        <w:numPr>
          <w:ilvl w:val="1"/>
          <w:numId w:val="4"/>
        </w:numPr>
      </w:pPr>
      <w:r>
        <w:t>Internal attention dis-control</w:t>
      </w:r>
    </w:p>
    <w:p w14:paraId="6706A636" w14:textId="6DF32E1B" w:rsidR="00620CE9" w:rsidRDefault="00620CE9" w:rsidP="00620CE9">
      <w:pPr>
        <w:pStyle w:val="ListParagraph"/>
        <w:numPr>
          <w:ilvl w:val="1"/>
          <w:numId w:val="4"/>
        </w:numPr>
      </w:pPr>
      <w:r>
        <w:t>Dichotic – internal-internal – a task that is a generalization to the trained.</w:t>
      </w:r>
    </w:p>
    <w:p w14:paraId="42E66866" w14:textId="5FA1C79D" w:rsidR="00CE4A8A" w:rsidRDefault="00CE4A8A" w:rsidP="00620CE9">
      <w:pPr>
        <w:pStyle w:val="ListParagraph"/>
        <w:numPr>
          <w:ilvl w:val="1"/>
          <w:numId w:val="4"/>
        </w:numPr>
      </w:pPr>
      <w:r>
        <w:t xml:space="preserve">To this is the next incremental stem – in understanding the mechanism in an experimental </w:t>
      </w:r>
      <w:r w:rsidR="00620CE9">
        <w:t xml:space="preserve">manipulation (my three groups) </w:t>
      </w:r>
    </w:p>
    <w:p w14:paraId="177A7E82" w14:textId="54BCAF75" w:rsidR="004525EE" w:rsidRDefault="00CE4A8A" w:rsidP="004525EE">
      <w:pPr>
        <w:pStyle w:val="ListParagraph"/>
        <w:numPr>
          <w:ilvl w:val="1"/>
          <w:numId w:val="4"/>
        </w:numPr>
      </w:pPr>
      <w:r>
        <w:t>Translational im</w:t>
      </w:r>
      <w:r w:rsidR="00620CE9">
        <w:t>plication to experimental therapeutic – augmented large</w:t>
      </w:r>
      <w:r w:rsidR="00B66A79">
        <w:t>-</w:t>
      </w:r>
      <w:r w:rsidR="00620CE9">
        <w:t>scale intervention in a focused experimental training.</w:t>
      </w:r>
    </w:p>
    <w:p w14:paraId="2FB323BC" w14:textId="473A7142" w:rsidR="000850FB" w:rsidRDefault="000850FB" w:rsidP="000850FB"/>
    <w:p w14:paraId="2817DEE6" w14:textId="77777777" w:rsidR="000850FB" w:rsidRDefault="000850FB" w:rsidP="000850FB"/>
    <w:sectPr w:rsidR="00085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73389"/>
    <w:multiLevelType w:val="hybridMultilevel"/>
    <w:tmpl w:val="2A6266D4"/>
    <w:lvl w:ilvl="0" w:tplc="10000011">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D97304A"/>
    <w:multiLevelType w:val="hybridMultilevel"/>
    <w:tmpl w:val="CF7EA7DC"/>
    <w:lvl w:ilvl="0" w:tplc="3AFC5E44">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5DC0531"/>
    <w:multiLevelType w:val="hybridMultilevel"/>
    <w:tmpl w:val="B6627D42"/>
    <w:lvl w:ilvl="0" w:tplc="10000011">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3F00234F"/>
    <w:multiLevelType w:val="hybridMultilevel"/>
    <w:tmpl w:val="67F6E7F6"/>
    <w:lvl w:ilvl="0" w:tplc="FCCA9700">
      <w:numFmt w:val="bullet"/>
      <w:lvlText w:val=""/>
      <w:lvlJc w:val="left"/>
      <w:pPr>
        <w:ind w:left="720" w:hanging="360"/>
      </w:pPr>
      <w:rPr>
        <w:rFonts w:ascii="Wingdings" w:eastAsiaTheme="minorHAnsi" w:hAnsi="Wingding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3F8F0713"/>
    <w:multiLevelType w:val="hybridMultilevel"/>
    <w:tmpl w:val="E59C5194"/>
    <w:lvl w:ilvl="0" w:tplc="10000011">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669F2A07"/>
    <w:multiLevelType w:val="hybridMultilevel"/>
    <w:tmpl w:val="8F7AA102"/>
    <w:lvl w:ilvl="0" w:tplc="277C0AB8">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67ED4C86"/>
    <w:multiLevelType w:val="hybridMultilevel"/>
    <w:tmpl w:val="76F8A128"/>
    <w:lvl w:ilvl="0" w:tplc="7CF2BC3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7" w15:restartNumberingAfterBreak="0">
    <w:nsid w:val="71A46316"/>
    <w:multiLevelType w:val="hybridMultilevel"/>
    <w:tmpl w:val="19C26E72"/>
    <w:lvl w:ilvl="0" w:tplc="15860834">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1"/>
  </w:num>
  <w:num w:numId="5">
    <w:abstractNumId w:val="7"/>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7A8"/>
    <w:rsid w:val="00035A54"/>
    <w:rsid w:val="000850FB"/>
    <w:rsid w:val="00174190"/>
    <w:rsid w:val="00221057"/>
    <w:rsid w:val="00332436"/>
    <w:rsid w:val="003345D5"/>
    <w:rsid w:val="003E7C69"/>
    <w:rsid w:val="003F6CB8"/>
    <w:rsid w:val="00446599"/>
    <w:rsid w:val="004525EE"/>
    <w:rsid w:val="00485169"/>
    <w:rsid w:val="00620CE9"/>
    <w:rsid w:val="009906AB"/>
    <w:rsid w:val="00AF3F12"/>
    <w:rsid w:val="00B1316B"/>
    <w:rsid w:val="00B66A79"/>
    <w:rsid w:val="00B977A8"/>
    <w:rsid w:val="00CB7B06"/>
    <w:rsid w:val="00CE4A8A"/>
    <w:rsid w:val="00F0162B"/>
    <w:rsid w:val="00F8421A"/>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8B8DB"/>
  <w15:chartTrackingRefBased/>
  <w15:docId w15:val="{1F5AAAB7-CA28-4D2C-BAC2-20D976E5F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0FB"/>
    <w:pPr>
      <w:ind w:left="720"/>
      <w:contextualSpacing/>
    </w:pPr>
  </w:style>
  <w:style w:type="paragraph" w:styleId="BalloonText">
    <w:name w:val="Balloon Text"/>
    <w:basedOn w:val="Normal"/>
    <w:link w:val="BalloonTextChar"/>
    <w:uiPriority w:val="99"/>
    <w:semiHidden/>
    <w:unhideWhenUsed/>
    <w:rsid w:val="009906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6AB"/>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10410</Words>
  <Characters>59339</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תומר עוז</dc:creator>
  <cp:keywords/>
  <dc:description/>
  <cp:lastModifiedBy>תומר עוז</cp:lastModifiedBy>
  <cp:revision>9</cp:revision>
  <dcterms:created xsi:type="dcterms:W3CDTF">2020-03-18T10:17:00Z</dcterms:created>
  <dcterms:modified xsi:type="dcterms:W3CDTF">2020-12-18T15:37:00Z</dcterms:modified>
</cp:coreProperties>
</file>