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830F4" w14:textId="036F5F45" w:rsidR="008256AD" w:rsidRPr="005F3990" w:rsidRDefault="008256AD" w:rsidP="008256AD">
      <w:pPr>
        <w:bidi/>
        <w:rPr>
          <w:rFonts w:asciiTheme="minorHAnsi" w:hAnsiTheme="minorHAnsi" w:cstheme="minorHAnsi"/>
          <w:lang w:val="en-US"/>
        </w:rPr>
      </w:pPr>
      <w:r w:rsidRPr="00B30AA8">
        <w:rPr>
          <w:rFonts w:asciiTheme="minorHAnsi" w:hAnsiTheme="minorHAns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1859480" wp14:editId="6C9EB350">
            <wp:simplePos x="0" y="0"/>
            <wp:positionH relativeFrom="margin">
              <wp:posOffset>139681</wp:posOffset>
            </wp:positionH>
            <wp:positionV relativeFrom="paragraph">
              <wp:posOffset>258184</wp:posOffset>
            </wp:positionV>
            <wp:extent cx="5687060" cy="1532255"/>
            <wp:effectExtent l="38100" t="38100" r="46990" b="298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153225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 w:hint="cs"/>
          <w:rtl/>
        </w:rPr>
        <w:t xml:space="preserve"> </w:t>
      </w:r>
    </w:p>
    <w:p w14:paraId="2C5AC6B3" w14:textId="77777777" w:rsidR="008256AD" w:rsidRPr="00B30AA8" w:rsidRDefault="008256AD" w:rsidP="008256AD">
      <w:pPr>
        <w:pStyle w:val="ListParagraph"/>
        <w:spacing w:before="240" w:line="360" w:lineRule="auto"/>
        <w:ind w:left="-46"/>
        <w:jc w:val="center"/>
        <w:rPr>
          <w:rFonts w:asciiTheme="minorHAnsi" w:hAnsiTheme="minorHAnsi"/>
          <w:rtl/>
          <w:lang w:val="en-US"/>
        </w:rPr>
      </w:pPr>
      <w:r w:rsidRPr="00B30AA8">
        <w:rPr>
          <w:rFonts w:asciiTheme="minorHAnsi" w:hAnsiTheme="minorHAnsi"/>
          <w:lang w:val="en-US"/>
        </w:rPr>
        <w:t>Total phosphorus</w:t>
      </w:r>
      <w:r w:rsidRPr="00B30AA8">
        <w:rPr>
          <w:rStyle w:val="FootnoteReference"/>
          <w:rFonts w:asciiTheme="minorHAnsi" w:hAnsiTheme="minorHAnsi"/>
          <w:lang w:val="en-US"/>
        </w:rPr>
        <w:footnoteReference w:id="1"/>
      </w:r>
      <w:r w:rsidRPr="00B30AA8">
        <w:rPr>
          <w:rFonts w:asciiTheme="minorHAnsi" w:hAnsiTheme="minorHAnsi"/>
          <w:lang w:val="en-US"/>
        </w:rPr>
        <w:t>, chlorophyll a</w:t>
      </w:r>
      <w:r w:rsidRPr="00B30AA8">
        <w:rPr>
          <w:rStyle w:val="FootnoteReference"/>
          <w:rFonts w:asciiTheme="minorHAnsi" w:hAnsiTheme="minorHAnsi"/>
          <w:lang w:val="en-US"/>
        </w:rPr>
        <w:footnoteReference w:id="2"/>
      </w:r>
      <w:r w:rsidRPr="00B30AA8">
        <w:rPr>
          <w:rFonts w:asciiTheme="minorHAnsi" w:hAnsiTheme="minorHAnsi"/>
          <w:lang w:val="en-US"/>
        </w:rPr>
        <w:t>, and Secchi disk depth</w:t>
      </w:r>
      <w:r w:rsidRPr="00B30AA8">
        <w:rPr>
          <w:rStyle w:val="FootnoteReference"/>
          <w:rFonts w:asciiTheme="minorHAnsi" w:hAnsiTheme="minorHAnsi"/>
          <w:lang w:val="en-US"/>
        </w:rPr>
        <w:footnoteReference w:id="3"/>
      </w:r>
      <w:r w:rsidRPr="00B30AA8">
        <w:rPr>
          <w:rFonts w:asciiTheme="minorHAnsi" w:hAnsiTheme="minorHAnsi"/>
          <w:lang w:val="en-US"/>
        </w:rPr>
        <w:t>.</w:t>
      </w:r>
    </w:p>
    <w:p w14:paraId="59917360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13143" w14:textId="77777777" w:rsidR="0096270A" w:rsidRDefault="0096270A" w:rsidP="008256AD">
      <w:pPr>
        <w:spacing w:after="0" w:line="240" w:lineRule="auto"/>
      </w:pPr>
      <w:r>
        <w:separator/>
      </w:r>
    </w:p>
  </w:endnote>
  <w:endnote w:type="continuationSeparator" w:id="0">
    <w:p w14:paraId="5611777C" w14:textId="77777777" w:rsidR="0096270A" w:rsidRDefault="0096270A" w:rsidP="0082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2B754" w14:textId="77777777" w:rsidR="0096270A" w:rsidRDefault="0096270A" w:rsidP="008256AD">
      <w:pPr>
        <w:spacing w:after="0" w:line="240" w:lineRule="auto"/>
      </w:pPr>
      <w:r>
        <w:separator/>
      </w:r>
    </w:p>
  </w:footnote>
  <w:footnote w:type="continuationSeparator" w:id="0">
    <w:p w14:paraId="1A0CE66A" w14:textId="77777777" w:rsidR="0096270A" w:rsidRDefault="0096270A" w:rsidP="008256AD">
      <w:pPr>
        <w:spacing w:after="0" w:line="240" w:lineRule="auto"/>
      </w:pPr>
      <w:r>
        <w:continuationSeparator/>
      </w:r>
    </w:p>
  </w:footnote>
  <w:footnote w:id="1">
    <w:p w14:paraId="236A10B4" w14:textId="77777777" w:rsidR="008256AD" w:rsidRPr="00ED3369" w:rsidRDefault="008256AD" w:rsidP="008256AD">
      <w:pPr>
        <w:pStyle w:val="FootnoteText"/>
        <w:rPr>
          <w:sz w:val="16"/>
          <w:szCs w:val="16"/>
        </w:rPr>
      </w:pPr>
      <w:r w:rsidRPr="00ED3369">
        <w:rPr>
          <w:rStyle w:val="FootnoteReference"/>
          <w:sz w:val="16"/>
          <w:szCs w:val="16"/>
        </w:rPr>
        <w:footnoteRef/>
      </w:r>
      <w:r w:rsidRPr="00ED3369">
        <w:rPr>
          <w:sz w:val="16"/>
          <w:szCs w:val="16"/>
        </w:rPr>
        <w:t xml:space="preserve"> </w:t>
      </w:r>
      <w:r w:rsidRPr="00ED3369">
        <w:rPr>
          <w:sz w:val="16"/>
          <w:szCs w:val="16"/>
          <w:lang w:val="en-US"/>
        </w:rPr>
        <w:t>Total phosphorus = the concentrations pf P dissolved in the water, as indicator to the level of nutrients in the water</w:t>
      </w:r>
    </w:p>
  </w:footnote>
  <w:footnote w:id="2">
    <w:p w14:paraId="370F8D94" w14:textId="77777777" w:rsidR="008256AD" w:rsidRPr="00ED3369" w:rsidRDefault="008256AD" w:rsidP="008256AD">
      <w:pPr>
        <w:pStyle w:val="FootnoteText"/>
        <w:rPr>
          <w:sz w:val="16"/>
          <w:szCs w:val="16"/>
        </w:rPr>
      </w:pPr>
      <w:r w:rsidRPr="00ED3369">
        <w:rPr>
          <w:rStyle w:val="FootnoteReference"/>
          <w:sz w:val="16"/>
          <w:szCs w:val="16"/>
        </w:rPr>
        <w:footnoteRef/>
      </w:r>
      <w:r w:rsidRPr="00ED3369">
        <w:rPr>
          <w:sz w:val="16"/>
          <w:szCs w:val="16"/>
        </w:rPr>
        <w:t xml:space="preserve"> </w:t>
      </w:r>
      <w:r w:rsidRPr="00ED3369">
        <w:rPr>
          <w:sz w:val="16"/>
          <w:szCs w:val="16"/>
          <w:lang w:val="en-US"/>
        </w:rPr>
        <w:t>“</w:t>
      </w:r>
      <w:r w:rsidRPr="00ED3369">
        <w:rPr>
          <w:sz w:val="16"/>
          <w:szCs w:val="16"/>
        </w:rPr>
        <w:t xml:space="preserve">Chlorophyll a is the predominant type of chlorophyll found in green plants and algae </w:t>
      </w:r>
      <w:r w:rsidRPr="00ED3369">
        <w:rPr>
          <w:sz w:val="16"/>
          <w:szCs w:val="16"/>
          <w:lang w:val="en-US"/>
        </w:rPr>
        <w:t>that</w:t>
      </w:r>
      <w:r w:rsidRPr="00ED3369">
        <w:rPr>
          <w:sz w:val="16"/>
          <w:szCs w:val="16"/>
        </w:rPr>
        <w:t xml:space="preserve"> allows </w:t>
      </w:r>
      <w:r w:rsidRPr="00ED3369">
        <w:rPr>
          <w:sz w:val="16"/>
          <w:szCs w:val="16"/>
          <w:lang w:val="en-US"/>
        </w:rPr>
        <w:t>them</w:t>
      </w:r>
      <w:r w:rsidRPr="00ED3369">
        <w:rPr>
          <w:sz w:val="16"/>
          <w:szCs w:val="16"/>
        </w:rPr>
        <w:t xml:space="preserve"> to photosynthesize, i.e., use sunlight to convert simple molecules into organic compounds</w:t>
      </w:r>
      <w:r w:rsidRPr="00ED3369">
        <w:rPr>
          <w:sz w:val="16"/>
          <w:szCs w:val="16"/>
          <w:lang w:val="en-US"/>
        </w:rPr>
        <w:t xml:space="preserve">” - </w:t>
      </w:r>
      <w:hyperlink r:id="rId1" w:anchor=":~:text=What%20is%20chlorophyll%20a%3F,in%20green%20plants%20and%20algae" w:history="1">
        <w:r w:rsidRPr="00ED3369">
          <w:rPr>
            <w:rStyle w:val="Hyperlink"/>
            <w:sz w:val="16"/>
            <w:szCs w:val="16"/>
            <w:lang w:val="en-US"/>
          </w:rPr>
          <w:t>https://www.epa.gov/national-aquatic-resource-surveys/indicators-chlorophyll#:~:text=What%20is%20chlorophyll%20a%3F,in%20green%20plants%20and%20algae</w:t>
        </w:r>
      </w:hyperlink>
      <w:r w:rsidRPr="00ED3369">
        <w:rPr>
          <w:sz w:val="16"/>
          <w:szCs w:val="16"/>
          <w:lang w:val="en-US"/>
        </w:rPr>
        <w:t xml:space="preserve">.  </w:t>
      </w:r>
    </w:p>
  </w:footnote>
  <w:footnote w:id="3">
    <w:p w14:paraId="6AB7257A" w14:textId="77777777" w:rsidR="008256AD" w:rsidRPr="00ED3369" w:rsidRDefault="008256AD" w:rsidP="008256AD">
      <w:pPr>
        <w:pStyle w:val="FootnoteText"/>
        <w:rPr>
          <w:sz w:val="16"/>
          <w:szCs w:val="16"/>
        </w:rPr>
      </w:pPr>
      <w:r w:rsidRPr="00ED3369">
        <w:rPr>
          <w:rStyle w:val="FootnoteReference"/>
          <w:sz w:val="16"/>
          <w:szCs w:val="16"/>
        </w:rPr>
        <w:footnoteRef/>
      </w:r>
      <w:r w:rsidRPr="00ED3369">
        <w:rPr>
          <w:sz w:val="16"/>
          <w:szCs w:val="16"/>
        </w:rPr>
        <w:t xml:space="preserve"> </w:t>
      </w:r>
      <w:r w:rsidRPr="00ED3369">
        <w:rPr>
          <w:sz w:val="16"/>
          <w:szCs w:val="16"/>
          <w:lang w:val="en-US"/>
        </w:rPr>
        <w:t xml:space="preserve">“A Secchi disk is an 8-inch (20 cm) disk with alternating black and white quadrants. It is lowered into the water of a lake until it can no longer be seen by the observer. This depth of disappearance, called the Secchi depth, is a measure of the transparency of the water.” - </w:t>
      </w:r>
      <w:hyperlink r:id="rId2" w:history="1">
        <w:r w:rsidRPr="00ED3369">
          <w:rPr>
            <w:rStyle w:val="Hyperlink"/>
            <w:sz w:val="16"/>
            <w:szCs w:val="16"/>
            <w:lang w:val="en-US"/>
          </w:rPr>
          <w:t>https://www.nalms.org/secchidipin/monitoring-methods/the-secchi-disk/what-is-a-secchi-disk/</w:t>
        </w:r>
      </w:hyperlink>
      <w:r w:rsidRPr="00ED3369">
        <w:rPr>
          <w:sz w:val="16"/>
          <w:szCs w:val="16"/>
          <w:lang w:val="en-US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AD"/>
    <w:rsid w:val="005734CF"/>
    <w:rsid w:val="005F5EFD"/>
    <w:rsid w:val="00822530"/>
    <w:rsid w:val="008256AD"/>
    <w:rsid w:val="0096270A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10C2"/>
  <w15:chartTrackingRefBased/>
  <w15:docId w15:val="{F25DD758-3A00-4B4A-95A0-EB9D9E12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6AD"/>
    <w:rPr>
      <w:rFonts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56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56A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8256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56AD"/>
    <w:rPr>
      <w:rFonts w:cs="Calibri Ligh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56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alms.org/secchidipin/monitoring-methods/the-secchi-disk/what-is-a-secchi-disk/" TargetMode="External"/><Relationship Id="rId1" Type="http://schemas.openxmlformats.org/officeDocument/2006/relationships/hyperlink" Target="https://www.epa.gov/national-aquatic-resource-surveys/indicators-chlorophy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2025-03-25T06:32:00Z</dcterms:created>
  <dcterms:modified xsi:type="dcterms:W3CDTF">2025-03-25T06:33:00Z</dcterms:modified>
</cp:coreProperties>
</file>