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"/>
        <w:gridCol w:w="726"/>
        <w:gridCol w:w="676"/>
        <w:gridCol w:w="1538"/>
        <w:gridCol w:w="2380"/>
        <w:gridCol w:w="1020"/>
        <w:gridCol w:w="854"/>
        <w:gridCol w:w="869"/>
      </w:tblGrid>
      <w:tr w14:paraId="121C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185" w:type="dxa"/>
            <w:gridSpan w:val="2"/>
            <w:noWrap w:val="0"/>
            <w:vAlign w:val="top"/>
          </w:tcPr>
          <w:p w14:paraId="5BD0E0E9">
            <w:r>
              <w:rPr>
                <w:rFonts w:hint="eastAsia"/>
              </w:rPr>
              <w:t>作品名称</w:t>
            </w:r>
          </w:p>
        </w:tc>
        <w:tc>
          <w:tcPr>
            <w:tcW w:w="7337" w:type="dxa"/>
            <w:gridSpan w:val="6"/>
            <w:noWrap w:val="0"/>
            <w:vAlign w:val="top"/>
          </w:tcPr>
          <w:p w14:paraId="41444A9C">
            <w:r>
              <w:rPr>
                <w:rFonts w:hint="eastAsia" w:ascii="宋体" w:hAnsi="宋体" w:eastAsia="宋体"/>
                <w:sz w:val="21"/>
                <w:szCs w:val="21"/>
              </w:rPr>
              <w:t>钟于钢琴工作室教学管理小程序</w:t>
            </w:r>
          </w:p>
        </w:tc>
      </w:tr>
      <w:tr w14:paraId="4EB29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" w:type="dxa"/>
            <w:vMerge w:val="restart"/>
            <w:noWrap w:val="0"/>
            <w:vAlign w:val="top"/>
          </w:tcPr>
          <w:p w14:paraId="18786203">
            <w:pPr>
              <w:rPr>
                <w:rFonts w:hint="eastAsia"/>
              </w:rPr>
            </w:pPr>
            <w:r>
              <w:rPr>
                <w:rFonts w:hint="eastAsia"/>
              </w:rPr>
              <w:t>作者信息</w:t>
            </w:r>
          </w:p>
        </w:tc>
        <w:tc>
          <w:tcPr>
            <w:tcW w:w="726" w:type="dxa"/>
            <w:noWrap w:val="0"/>
            <w:vAlign w:val="top"/>
          </w:tcPr>
          <w:p w14:paraId="4F5B3996">
            <w:pPr>
              <w:rPr>
                <w:rFonts w:hint="eastAsia"/>
              </w:rPr>
            </w:pPr>
          </w:p>
        </w:tc>
        <w:tc>
          <w:tcPr>
            <w:tcW w:w="2214" w:type="dxa"/>
            <w:gridSpan w:val="2"/>
            <w:noWrap w:val="0"/>
            <w:vAlign w:val="top"/>
          </w:tcPr>
          <w:p w14:paraId="2C684EDF">
            <w:pPr>
              <w:rPr>
                <w:rFonts w:hint="eastAsia"/>
              </w:rPr>
            </w:pPr>
            <w:r>
              <w:rPr>
                <w:rFonts w:hint="eastAsia"/>
              </w:rPr>
              <w:t>作者一</w:t>
            </w:r>
          </w:p>
        </w:tc>
        <w:tc>
          <w:tcPr>
            <w:tcW w:w="2380" w:type="dxa"/>
            <w:noWrap w:val="0"/>
            <w:vAlign w:val="top"/>
          </w:tcPr>
          <w:p w14:paraId="467F7206">
            <w:pPr>
              <w:rPr>
                <w:rFonts w:hint="eastAsia"/>
              </w:rPr>
            </w:pPr>
            <w:r>
              <w:rPr>
                <w:rFonts w:hint="eastAsia"/>
              </w:rPr>
              <w:t>作者二</w:t>
            </w:r>
          </w:p>
        </w:tc>
        <w:tc>
          <w:tcPr>
            <w:tcW w:w="1020" w:type="dxa"/>
            <w:noWrap w:val="0"/>
            <w:vAlign w:val="top"/>
          </w:tcPr>
          <w:p w14:paraId="4A115A07">
            <w:pPr>
              <w:rPr>
                <w:rFonts w:hint="eastAsia"/>
              </w:rPr>
            </w:pPr>
            <w:r>
              <w:rPr>
                <w:rFonts w:hint="eastAsia"/>
              </w:rPr>
              <w:t>作者三</w:t>
            </w:r>
          </w:p>
        </w:tc>
        <w:tc>
          <w:tcPr>
            <w:tcW w:w="854" w:type="dxa"/>
            <w:noWrap w:val="0"/>
            <w:vAlign w:val="top"/>
          </w:tcPr>
          <w:p w14:paraId="3415BAD3">
            <w:pPr>
              <w:rPr>
                <w:rFonts w:hint="eastAsia"/>
              </w:rPr>
            </w:pPr>
            <w:r>
              <w:rPr>
                <w:rFonts w:hint="eastAsia"/>
              </w:rPr>
              <w:t>作者四</w:t>
            </w:r>
          </w:p>
        </w:tc>
        <w:tc>
          <w:tcPr>
            <w:tcW w:w="869" w:type="dxa"/>
            <w:noWrap w:val="0"/>
            <w:vAlign w:val="top"/>
          </w:tcPr>
          <w:p w14:paraId="374DF72C">
            <w:pPr>
              <w:rPr>
                <w:rFonts w:hint="eastAsia"/>
              </w:rPr>
            </w:pPr>
            <w:r>
              <w:rPr>
                <w:rFonts w:hint="eastAsia"/>
              </w:rPr>
              <w:t>作者五</w:t>
            </w:r>
          </w:p>
        </w:tc>
      </w:tr>
      <w:tr w14:paraId="24457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" w:type="dxa"/>
            <w:vMerge w:val="continue"/>
            <w:noWrap w:val="0"/>
            <w:vAlign w:val="top"/>
          </w:tcPr>
          <w:p w14:paraId="25E54A80"/>
        </w:tc>
        <w:tc>
          <w:tcPr>
            <w:tcW w:w="726" w:type="dxa"/>
            <w:noWrap w:val="0"/>
            <w:vAlign w:val="top"/>
          </w:tcPr>
          <w:p w14:paraId="16358E02">
            <w:r>
              <w:rPr>
                <w:rFonts w:hint="eastAsia"/>
              </w:rPr>
              <w:t>院系</w:t>
            </w:r>
          </w:p>
        </w:tc>
        <w:tc>
          <w:tcPr>
            <w:tcW w:w="2214" w:type="dxa"/>
            <w:gridSpan w:val="2"/>
            <w:noWrap w:val="0"/>
            <w:vAlign w:val="top"/>
          </w:tcPr>
          <w:p w14:paraId="4A7924B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  <w:tc>
          <w:tcPr>
            <w:tcW w:w="2380" w:type="dxa"/>
            <w:noWrap w:val="0"/>
            <w:vAlign w:val="top"/>
          </w:tcPr>
          <w:p w14:paraId="1AEC1E4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  <w:tc>
          <w:tcPr>
            <w:tcW w:w="1020" w:type="dxa"/>
            <w:noWrap w:val="0"/>
            <w:vAlign w:val="top"/>
          </w:tcPr>
          <w:p w14:paraId="38D98933"/>
        </w:tc>
        <w:tc>
          <w:tcPr>
            <w:tcW w:w="854" w:type="dxa"/>
            <w:noWrap w:val="0"/>
            <w:vAlign w:val="top"/>
          </w:tcPr>
          <w:p w14:paraId="25B139AC"/>
        </w:tc>
        <w:tc>
          <w:tcPr>
            <w:tcW w:w="869" w:type="dxa"/>
            <w:noWrap w:val="0"/>
            <w:vAlign w:val="top"/>
          </w:tcPr>
          <w:p w14:paraId="4B0DF0B7"/>
        </w:tc>
      </w:tr>
      <w:tr w14:paraId="6AEDA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" w:type="dxa"/>
            <w:vMerge w:val="continue"/>
            <w:noWrap w:val="0"/>
            <w:vAlign w:val="top"/>
          </w:tcPr>
          <w:p w14:paraId="7F5E4485"/>
        </w:tc>
        <w:tc>
          <w:tcPr>
            <w:tcW w:w="726" w:type="dxa"/>
            <w:noWrap w:val="0"/>
            <w:vAlign w:val="top"/>
          </w:tcPr>
          <w:p w14:paraId="282C14CD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2214" w:type="dxa"/>
            <w:gridSpan w:val="2"/>
            <w:noWrap w:val="0"/>
            <w:vAlign w:val="top"/>
          </w:tcPr>
          <w:p w14:paraId="2036DA2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钟浩</w:t>
            </w:r>
          </w:p>
        </w:tc>
        <w:tc>
          <w:tcPr>
            <w:tcW w:w="2380" w:type="dxa"/>
            <w:noWrap w:val="0"/>
            <w:vAlign w:val="top"/>
          </w:tcPr>
          <w:p w14:paraId="5EF47F00">
            <w:r>
              <w:rPr>
                <w:rFonts w:hint="eastAsia"/>
              </w:rPr>
              <w:t>史健申</w:t>
            </w:r>
          </w:p>
        </w:tc>
        <w:tc>
          <w:tcPr>
            <w:tcW w:w="1020" w:type="dxa"/>
            <w:noWrap w:val="0"/>
            <w:vAlign w:val="top"/>
          </w:tcPr>
          <w:p w14:paraId="35C3CE01"/>
        </w:tc>
        <w:tc>
          <w:tcPr>
            <w:tcW w:w="854" w:type="dxa"/>
            <w:noWrap w:val="0"/>
            <w:vAlign w:val="top"/>
          </w:tcPr>
          <w:p w14:paraId="08F880D1"/>
        </w:tc>
        <w:tc>
          <w:tcPr>
            <w:tcW w:w="869" w:type="dxa"/>
            <w:noWrap w:val="0"/>
            <w:vAlign w:val="top"/>
          </w:tcPr>
          <w:p w14:paraId="323981BD"/>
        </w:tc>
      </w:tr>
      <w:tr w14:paraId="6B60D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" w:type="dxa"/>
            <w:vMerge w:val="continue"/>
            <w:noWrap w:val="0"/>
            <w:vAlign w:val="top"/>
          </w:tcPr>
          <w:p w14:paraId="2BFFB153"/>
        </w:tc>
        <w:tc>
          <w:tcPr>
            <w:tcW w:w="726" w:type="dxa"/>
            <w:noWrap w:val="0"/>
            <w:vAlign w:val="top"/>
          </w:tcPr>
          <w:p w14:paraId="78C8812A">
            <w:pPr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2214" w:type="dxa"/>
            <w:gridSpan w:val="2"/>
            <w:noWrap w:val="0"/>
            <w:vAlign w:val="top"/>
          </w:tcPr>
          <w:p w14:paraId="7B009AC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10225101490</w:t>
            </w:r>
          </w:p>
        </w:tc>
        <w:tc>
          <w:tcPr>
            <w:tcW w:w="2380" w:type="dxa"/>
            <w:noWrap w:val="0"/>
            <w:vAlign w:val="top"/>
          </w:tcPr>
          <w:p w14:paraId="0D00FAE6">
            <w:r>
              <w:rPr>
                <w:rFonts w:hint="eastAsia"/>
              </w:rPr>
              <w:t>10235101561</w:t>
            </w:r>
          </w:p>
        </w:tc>
        <w:tc>
          <w:tcPr>
            <w:tcW w:w="1020" w:type="dxa"/>
            <w:noWrap w:val="0"/>
            <w:vAlign w:val="top"/>
          </w:tcPr>
          <w:p w14:paraId="54436B85"/>
        </w:tc>
        <w:tc>
          <w:tcPr>
            <w:tcW w:w="854" w:type="dxa"/>
            <w:noWrap w:val="0"/>
            <w:vAlign w:val="top"/>
          </w:tcPr>
          <w:p w14:paraId="7A8A521D"/>
        </w:tc>
        <w:tc>
          <w:tcPr>
            <w:tcW w:w="869" w:type="dxa"/>
            <w:noWrap w:val="0"/>
            <w:vAlign w:val="top"/>
          </w:tcPr>
          <w:p w14:paraId="2AD8D802"/>
        </w:tc>
      </w:tr>
      <w:tr w14:paraId="409D0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9" w:type="dxa"/>
            <w:vMerge w:val="continue"/>
            <w:noWrap w:val="0"/>
            <w:vAlign w:val="top"/>
          </w:tcPr>
          <w:p w14:paraId="6AD18271"/>
        </w:tc>
        <w:tc>
          <w:tcPr>
            <w:tcW w:w="726" w:type="dxa"/>
            <w:noWrap w:val="0"/>
            <w:vAlign w:val="top"/>
          </w:tcPr>
          <w:p w14:paraId="057C8F04">
            <w:pPr>
              <w:rPr>
                <w:rFonts w:hint="eastAsia"/>
              </w:rPr>
            </w:pPr>
            <w:r>
              <w:rPr>
                <w:rFonts w:hint="eastAsia"/>
              </w:rPr>
              <w:t>信箱</w:t>
            </w:r>
          </w:p>
        </w:tc>
        <w:tc>
          <w:tcPr>
            <w:tcW w:w="2214" w:type="dxa"/>
            <w:gridSpan w:val="2"/>
            <w:noWrap w:val="0"/>
            <w:vAlign w:val="top"/>
          </w:tcPr>
          <w:p w14:paraId="38CC16C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2177686531@qq.com</w:t>
            </w:r>
          </w:p>
        </w:tc>
        <w:tc>
          <w:tcPr>
            <w:tcW w:w="2380" w:type="dxa"/>
            <w:noWrap w:val="0"/>
            <w:vAlign w:val="top"/>
          </w:tcPr>
          <w:p w14:paraId="2F9AAD09">
            <w:r>
              <w:rPr>
                <w:rFonts w:hint="eastAsia"/>
              </w:rPr>
              <w:t>18130570903@163.com</w:t>
            </w:r>
          </w:p>
        </w:tc>
        <w:tc>
          <w:tcPr>
            <w:tcW w:w="1020" w:type="dxa"/>
            <w:noWrap w:val="0"/>
            <w:vAlign w:val="top"/>
          </w:tcPr>
          <w:p w14:paraId="0AB7CBFE"/>
        </w:tc>
        <w:tc>
          <w:tcPr>
            <w:tcW w:w="854" w:type="dxa"/>
            <w:noWrap w:val="0"/>
            <w:vAlign w:val="top"/>
          </w:tcPr>
          <w:p w14:paraId="26245A3E"/>
        </w:tc>
        <w:tc>
          <w:tcPr>
            <w:tcW w:w="869" w:type="dxa"/>
            <w:noWrap w:val="0"/>
            <w:vAlign w:val="top"/>
          </w:tcPr>
          <w:p w14:paraId="660FB004"/>
        </w:tc>
      </w:tr>
      <w:tr w14:paraId="5F893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9" w:type="dxa"/>
            <w:vMerge w:val="continue"/>
            <w:noWrap w:val="0"/>
            <w:vAlign w:val="top"/>
          </w:tcPr>
          <w:p w14:paraId="01A546F2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726" w:type="dxa"/>
            <w:noWrap w:val="0"/>
            <w:vAlign w:val="top"/>
          </w:tcPr>
          <w:p w14:paraId="53723620">
            <w:pPr>
              <w:rPr>
                <w:rFonts w:hint="eastAsia"/>
              </w:rPr>
            </w:pPr>
            <w:r>
              <w:rPr>
                <w:rFonts w:hint="eastAsia"/>
              </w:rPr>
              <w:t>电话</w:t>
            </w:r>
          </w:p>
        </w:tc>
        <w:tc>
          <w:tcPr>
            <w:tcW w:w="2214" w:type="dxa"/>
            <w:gridSpan w:val="2"/>
            <w:noWrap w:val="0"/>
            <w:vAlign w:val="top"/>
          </w:tcPr>
          <w:p w14:paraId="43CF4E6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19279985142</w:t>
            </w:r>
          </w:p>
        </w:tc>
        <w:tc>
          <w:tcPr>
            <w:tcW w:w="2380" w:type="dxa"/>
            <w:noWrap w:val="0"/>
            <w:vAlign w:val="center"/>
          </w:tcPr>
          <w:p w14:paraId="43EE729B">
            <w:r>
              <w:rPr>
                <w:rFonts w:hint="eastAsia"/>
              </w:rPr>
              <w:t>18130570903</w:t>
            </w:r>
          </w:p>
        </w:tc>
        <w:tc>
          <w:tcPr>
            <w:tcW w:w="1020" w:type="dxa"/>
            <w:noWrap w:val="0"/>
            <w:vAlign w:val="center"/>
          </w:tcPr>
          <w:p w14:paraId="4774AEBE"/>
        </w:tc>
        <w:tc>
          <w:tcPr>
            <w:tcW w:w="854" w:type="dxa"/>
            <w:noWrap w:val="0"/>
            <w:vAlign w:val="top"/>
          </w:tcPr>
          <w:p w14:paraId="19C02FE6"/>
        </w:tc>
        <w:tc>
          <w:tcPr>
            <w:tcW w:w="869" w:type="dxa"/>
            <w:noWrap w:val="0"/>
            <w:vAlign w:val="top"/>
          </w:tcPr>
          <w:p w14:paraId="5FFA7D7B"/>
        </w:tc>
      </w:tr>
      <w:tr w14:paraId="2FEC5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gridSpan w:val="2"/>
            <w:vMerge w:val="restart"/>
            <w:noWrap w:val="0"/>
            <w:vAlign w:val="top"/>
          </w:tcPr>
          <w:p w14:paraId="36CD9B2D">
            <w:r>
              <w:rPr>
                <w:rFonts w:hint="eastAsia"/>
              </w:rPr>
              <w:t>指导教师</w:t>
            </w:r>
          </w:p>
        </w:tc>
        <w:tc>
          <w:tcPr>
            <w:tcW w:w="676" w:type="dxa"/>
            <w:noWrap w:val="0"/>
            <w:vAlign w:val="top"/>
          </w:tcPr>
          <w:p w14:paraId="113018EF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538" w:type="dxa"/>
            <w:noWrap w:val="0"/>
            <w:vAlign w:val="top"/>
          </w:tcPr>
          <w:p w14:paraId="55C7508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曹桂涛</w:t>
            </w:r>
          </w:p>
        </w:tc>
        <w:tc>
          <w:tcPr>
            <w:tcW w:w="2380" w:type="dxa"/>
            <w:noWrap w:val="0"/>
            <w:vAlign w:val="top"/>
          </w:tcPr>
          <w:p w14:paraId="1EB717DC">
            <w:pPr>
              <w:rPr>
                <w:rFonts w:hint="eastAsia"/>
              </w:rPr>
            </w:pPr>
            <w:r>
              <w:rPr>
                <w:rFonts w:hint="eastAsia"/>
              </w:rPr>
              <w:t>单位</w:t>
            </w:r>
          </w:p>
        </w:tc>
        <w:tc>
          <w:tcPr>
            <w:tcW w:w="2743" w:type="dxa"/>
            <w:gridSpan w:val="3"/>
            <w:noWrap w:val="0"/>
            <w:vAlign w:val="top"/>
          </w:tcPr>
          <w:p w14:paraId="1B692ED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华东师范大学软件工程学院</w:t>
            </w:r>
          </w:p>
        </w:tc>
      </w:tr>
      <w:tr w14:paraId="056C4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gridSpan w:val="2"/>
            <w:vMerge w:val="continue"/>
            <w:noWrap w:val="0"/>
            <w:vAlign w:val="top"/>
          </w:tcPr>
          <w:p w14:paraId="22AE9961"/>
        </w:tc>
        <w:tc>
          <w:tcPr>
            <w:tcW w:w="676" w:type="dxa"/>
            <w:noWrap w:val="0"/>
            <w:vAlign w:val="top"/>
          </w:tcPr>
          <w:p w14:paraId="7F657A95">
            <w:pPr>
              <w:rPr>
                <w:rFonts w:hint="eastAsia"/>
              </w:rPr>
            </w:pPr>
            <w:r>
              <w:rPr>
                <w:rFonts w:hint="eastAsia"/>
              </w:rPr>
              <w:t>电话</w:t>
            </w:r>
          </w:p>
        </w:tc>
        <w:tc>
          <w:tcPr>
            <w:tcW w:w="1538" w:type="dxa"/>
            <w:noWrap w:val="0"/>
            <w:vAlign w:val="top"/>
          </w:tcPr>
          <w:p w14:paraId="13C1D572">
            <w:pPr>
              <w:rPr>
                <w:rFonts w:hint="eastAsia"/>
              </w:rPr>
            </w:pPr>
            <w:r>
              <w:rPr>
                <w:rFonts w:hint="eastAsia"/>
              </w:rPr>
              <w:t>021-62232557</w:t>
            </w:r>
          </w:p>
        </w:tc>
        <w:tc>
          <w:tcPr>
            <w:tcW w:w="2380" w:type="dxa"/>
            <w:noWrap w:val="0"/>
            <w:vAlign w:val="top"/>
          </w:tcPr>
          <w:p w14:paraId="2C7429B1">
            <w:pPr>
              <w:rPr>
                <w:rFonts w:hint="eastAsia"/>
              </w:rPr>
            </w:pPr>
            <w:r>
              <w:rPr>
                <w:rFonts w:hint="eastAsia"/>
              </w:rPr>
              <w:t>信箱</w:t>
            </w:r>
          </w:p>
        </w:tc>
        <w:tc>
          <w:tcPr>
            <w:tcW w:w="2743" w:type="dxa"/>
            <w:gridSpan w:val="3"/>
            <w:noWrap w:val="0"/>
            <w:vAlign w:val="top"/>
          </w:tcPr>
          <w:p w14:paraId="7F8E1664">
            <w:pPr>
              <w:rPr>
                <w:rFonts w:hint="eastAsia"/>
              </w:rPr>
            </w:pPr>
            <w:r>
              <w:rPr>
                <w:rFonts w:hint="eastAsia"/>
              </w:rPr>
              <w:t>gtcao@sei.ecnu.edu.cn</w:t>
            </w:r>
          </w:p>
        </w:tc>
      </w:tr>
      <w:tr w14:paraId="6FBC6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8"/>
            <w:noWrap w:val="0"/>
            <w:vAlign w:val="top"/>
          </w:tcPr>
          <w:p w14:paraId="023D61F0">
            <w:r>
              <w:rPr>
                <w:rFonts w:hint="eastAsia" w:ascii="宋体" w:hAnsi="宋体" w:eastAsia="宋体"/>
                <w:sz w:val="21"/>
                <w:szCs w:val="21"/>
              </w:rPr>
              <w:t>作品简介（设计目标与意义、关键技术、作品特色）约200字</w:t>
            </w:r>
          </w:p>
          <w:p w14:paraId="26EF5678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本作品面向中小型钢琴工作室，解决排课、学生管理、课时计费、年度统计、支出核算和负责人汇总等高频问题。小程序采用本地优先架构，弱网仍可快速编辑；联网后通过自建 Node.js 服务完成微信登录、JSON 快照备份、跨设备恢复和老板聚合视图。关键技术包括 TypeScript 原生小程序、冲突检测与顺延、按自定义时长比例计费、HMAC Token 鉴权和追加式备份文件链。作品特色是以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可控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成本工具承载真实经营流程，兼顾易用性、可追溯性和后续扩展。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目前</w:t>
            </w:r>
            <w:r>
              <w:rPr>
                <w:rFonts w:hint="eastAsia"/>
                <w:lang w:val="en-US" w:eastAsia="zh-CN"/>
              </w:rPr>
              <w:t>本小程序已上线，并且交付由宁波钟于钢琴工作室投入使用。</w:t>
            </w:r>
          </w:p>
        </w:tc>
      </w:tr>
      <w:tr w14:paraId="45304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8522" w:type="dxa"/>
            <w:gridSpan w:val="8"/>
            <w:noWrap w:val="0"/>
            <w:vAlign w:val="top"/>
          </w:tcPr>
          <w:p w14:paraId="0A5FC1C7">
            <w:r>
              <w:rPr>
                <w:rFonts w:hint="eastAsia" w:ascii="宋体" w:hAnsi="宋体" w:eastAsia="宋体"/>
                <w:sz w:val="21"/>
                <w:szCs w:val="21"/>
              </w:rPr>
              <w:t>作品安装说明</w:t>
            </w:r>
          </w:p>
          <w:p w14:paraId="0A05E318">
            <w:r>
              <w:rPr>
                <w:rFonts w:hint="eastAsia" w:ascii="宋体" w:hAnsi="宋体" w:eastAsia="宋体"/>
                <w:sz w:val="21"/>
                <w:szCs w:val="21"/>
              </w:rPr>
              <w:t>1.使用微信开发者工具打开项目，将 miniprogram 目录设置为小程序根目录，并开启 TypeScript 编译。</w:t>
            </w:r>
          </w:p>
          <w:p w14:paraId="5511C86C">
            <w:r>
              <w:rPr>
                <w:rFonts w:hint="eastAsia" w:ascii="宋体" w:hAnsi="宋体" w:eastAsia="宋体"/>
                <w:sz w:val="21"/>
                <w:szCs w:val="21"/>
              </w:rPr>
              <w:t>2.本地体验核心功能时，可直接运行小程序端；课程、学生、统计、支出等数据会优先写入本地存储。</w:t>
            </w:r>
          </w:p>
          <w:p w14:paraId="7F721356">
            <w:r>
              <w:rPr>
                <w:rFonts w:hint="eastAsia" w:ascii="宋体" w:hAnsi="宋体" w:eastAsia="宋体"/>
                <w:sz w:val="21"/>
                <w:szCs w:val="21"/>
              </w:rPr>
              <w:t>3.如需体验登录、云备份、老板模式、头像/背景上传等联网功能，需在 server 目录部署 Node.js 18+ 服务，执行 npm install 后配置 WECHAT_APPID、WECHAT_SECRET、AUTH_SECRET、PUBLIC_BASE_URL、PORT 等环境变量，再启动服务。</w:t>
            </w:r>
          </w:p>
          <w:p w14:paraId="5C912714">
            <w:r>
              <w:rPr>
                <w:rFonts w:hint="eastAsia" w:ascii="宋体" w:hAnsi="宋体" w:eastAsia="宋体"/>
                <w:sz w:val="21"/>
                <w:szCs w:val="21"/>
              </w:rPr>
              <w:t>4.生产部署建议使用 Nginx 反向代理与 HTTPS，并在微信小程序后台配置 request/downloadFile 合法域名。</w:t>
            </w:r>
          </w:p>
          <w:p w14:paraId="4FE8453F">
            <w:pPr>
              <w:rPr>
                <w:rFonts w:hint="default" w:eastAsia="宋体"/>
                <w:lang w:val="en-US" w:eastAsia="zh-CN"/>
              </w:rPr>
            </w:pPr>
          </w:p>
        </w:tc>
      </w:tr>
      <w:tr w14:paraId="2F2F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8522" w:type="dxa"/>
            <w:gridSpan w:val="8"/>
            <w:noWrap w:val="0"/>
            <w:vAlign w:val="top"/>
          </w:tcPr>
          <w:p w14:paraId="7583F1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演示视频已发B站，链接如下：</w:t>
            </w:r>
          </w:p>
          <w:p w14:paraId="4DC57D2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https://www.bilibili.com/video/BV1xjRpBGEwt/?share_source=copy_web&amp;vd_source=77a4cdb87b862860ee5e81ea3996bf2e</w:t>
            </w:r>
          </w:p>
          <w:p w14:paraId="298E1508">
            <w:pPr>
              <w:rPr>
                <w:rFonts w:hint="default"/>
                <w:lang w:val="en-US" w:eastAsia="zh-CN"/>
              </w:rPr>
            </w:pPr>
          </w:p>
        </w:tc>
      </w:tr>
      <w:tr w14:paraId="204F5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8"/>
            <w:noWrap w:val="0"/>
            <w:vAlign w:val="top"/>
          </w:tcPr>
          <w:p w14:paraId="367D51A9">
            <w:pPr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作品效果图（整体、关键点和特效）</w:t>
            </w:r>
          </w:p>
          <w:p w14:paraId="201F2CF2">
            <w:pPr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534285" cy="5488305"/>
                  <wp:effectExtent l="0" t="0" r="0" b="1270"/>
                  <wp:docPr id="3" name="图片 3" descr="d9aeb35570e73c7e8d55d7f1d08b4b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d9aeb35570e73c7e8d55d7f1d08b4b3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285" cy="548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548890" cy="5522595"/>
                  <wp:effectExtent l="0" t="0" r="1905" b="0"/>
                  <wp:docPr id="4" name="图片 4" descr="1b6d0685e0470ebde72b91b3ea266f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1b6d0685e0470ebde72b91b3ea266f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890" cy="552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512F2">
            <w:pPr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606040" cy="5643880"/>
                  <wp:effectExtent l="0" t="0" r="2540" b="2540"/>
                  <wp:docPr id="5" name="图片 5" descr="0b601f4455c8c6baa8275370d0ef27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0b601f4455c8c6baa8275370d0ef27b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564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614295" cy="5661025"/>
                  <wp:effectExtent l="0" t="0" r="2540" b="1905"/>
                  <wp:docPr id="6" name="图片 6" descr="63d4c0d32a8602672c35526bf178f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63d4c0d32a8602672c35526bf178f34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295" cy="566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90ED4">
            <w:pPr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616835" cy="5666740"/>
                  <wp:effectExtent l="0" t="0" r="0" b="4445"/>
                  <wp:docPr id="7" name="图片 7" descr="5cd948e95cbc01adf22d41f5ccdac0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5cd948e95cbc01adf22d41f5ccdac0f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835" cy="566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612390" cy="5657850"/>
                  <wp:effectExtent l="0" t="0" r="4445" b="5080"/>
                  <wp:docPr id="8" name="图片 8" descr="d3666f0fe4f081cf7506720a5d896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d3666f0fe4f081cf7506720a5d89628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390" cy="565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08AEC">
            <w:pPr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493645" cy="5401310"/>
                  <wp:effectExtent l="0" t="0" r="7620" b="5715"/>
                  <wp:docPr id="9" name="图片 9" descr="676f3494f6d2b9bd61a8ba6b72100c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676f3494f6d2b9bd61a8ba6b72100c3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645" cy="540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726690" cy="5904230"/>
                  <wp:effectExtent l="0" t="0" r="5715" b="6350"/>
                  <wp:docPr id="10" name="图片 10" descr="f495892f373736a76727abe62fbf6a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f495892f373736a76727abe62fbf6aff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690" cy="590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50A17"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578100" cy="5582920"/>
                  <wp:effectExtent l="0" t="0" r="5715" b="5715"/>
                  <wp:docPr id="11" name="图片 11" descr="709c2b8aae6374174878049293d7a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709c2b8aae6374174878049293d7a06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100" cy="558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19B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8"/>
            <w:noWrap w:val="0"/>
            <w:vAlign w:val="top"/>
          </w:tcPr>
          <w:p w14:paraId="096CAC79">
            <w:r>
              <w:rPr>
                <w:rFonts w:hint="eastAsia" w:ascii="宋体" w:hAnsi="宋体" w:eastAsia="宋体"/>
                <w:sz w:val="21"/>
                <w:szCs w:val="21"/>
              </w:rPr>
              <w:t>设计思路（约3000字，可附图，共占2～3页）</w:t>
            </w:r>
          </w:p>
          <w:p w14:paraId="6C22A9BF">
            <w:pPr>
              <w:ind w:firstLine="420" w:firstLineChars="200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钢琴工作室的日常经营，表面上是在安排课程时间，实际同时牵涉老师时间、学生连续性、家长沟通、课时费用、场地成本和负责人汇总。通用日历只能记录时间点，电子表格在手机端修改不便，传统教务系统又常常偏重学校或大型培训机构，使用门槛和维护成本都高。本作品把场景收敛为中小型音乐工作室，目标不是复制一个庞大的教务平台，而是让一线老师能用手机快速把课排清楚、把钱算清楚，让负责人能在需要时看到可追溯的机构快照。</w:t>
            </w:r>
          </w:p>
          <w:p w14:paraId="05BAA1F3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整体架构如图1所示。客户端采用微信小程序原生框架和 TypeScript 开发，以 wx.storage 作为本地权威数据源；服务端采用 Node.js + Express，通过微信登录和 HMAC Token 完成身份校验，并把每次上传保存为追加式 JSON 快照。这样的架构把高频操作留在本地，把备份、恢复、头像背景托管和老板聚合放到云端，既保证弱网可用，又保留可追溯的数据链。</w:t>
            </w:r>
          </w:p>
          <w:p w14:paraId="37F2D271">
            <w:pPr>
              <w:ind w:firstLine="420" w:firstLineChars="200"/>
              <w:rPr>
                <w:rFonts w:hint="eastAsia" w:ascii="宋体" w:hAnsi="宋体" w:eastAsia="宋体"/>
                <w:sz w:val="21"/>
                <w:szCs w:val="21"/>
              </w:rPr>
            </w:pPr>
            <w:r>
              <w:drawing>
                <wp:inline distT="0" distB="0" distL="0" distR="0">
                  <wp:extent cx="4679950" cy="2222500"/>
                  <wp:effectExtent l="0" t="0" r="0" b="0"/>
                  <wp:docPr id="801" name="design_architectu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" name="design_architecture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22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E71C3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基于这一目标，系统采用 Local-first 的设计思路。课程、学生、定价、偏好设置和工作室支出首先写入微信小程序本地存储，客户端成为老师当下操作的权威数据源。这样即使在琴房、地下空间或商场弱网环境中，老师仍能新增课程、修改时长、查看统计，不会因为服务器暂时不可达而停止教学安排。云端不承担实时数据库角色，而承担身份认证、快照备份、跨设备恢复、资源托管和老板聚合视图等辅助职责。</w:t>
            </w:r>
          </w:p>
          <w:p w14:paraId="1C49F01C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客户端使用 TypeScript 与微信小程序原生框架实现，页面按工作流拆分为月视图、周视图、日视图、课程编辑、学生管理、统计、年度汇总、工作室支出、备份中心、设置和老板模式。月视图作为首页，帮助老师快速掌握整月安排；周视图适合观察连续时间段；日视图承载当天课程列表和新增入口；课程编辑页处理学生、日期、开始时间、持续分钟数和费用预览。这样的导航结构把高频操作放在最短路径中，降低临场使用压力。</w:t>
            </w:r>
          </w:p>
          <w:p w14:paraId="1AA40A64">
            <w:r>
              <w:rPr>
                <w:rFonts w:hint="eastAsia" w:ascii="宋体" w:hAnsi="宋体" w:eastAsia="宋体"/>
                <w:sz w:val="21"/>
                <w:szCs w:val="21"/>
              </w:rPr>
              <w:t>排课算法重点服务于真实教学秩序。钢琴课往往按连续时间段进行，一节课的开始时间或时长变化，可能影响后续课程的衔接。系统在客户端完成冲突检测和顺延判断，保证老师保存前就能看到时间轴是否重叠，以及调整后一天课程如何移动。这里没有追求复杂的自动最优排程，而是优先保证可解释性：用户知道系统改了哪里、为什么改、是否需要自己再次确认，这比看似智能但不可控的自动调整更适合教学场景。</w:t>
            </w:r>
          </w:p>
          <w:p w14:paraId="0B7692DD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业务闭环如图2所示。用户从新增或调整课程开始，系统先进行冲突检测和顺延处理，再依据学生定价和实际时长计算课时费。课程数据进入月度统计、年度汇总和工作室支出核算后，可以通过文本或图片分享给工作室群聊，也可以在确认后进行导入，减少重复录入。云备份与恢复让这些分散操作沉淀为可迁移、可复盘的数据资产。</w:t>
            </w:r>
          </w:p>
          <w:p w14:paraId="79FD322E">
            <w:pPr>
              <w:jc w:val="center"/>
            </w:pPr>
            <w:r>
              <w:drawing>
                <wp:inline distT="0" distB="0" distL="0" distR="0">
                  <wp:extent cx="4679950" cy="2222500"/>
                  <wp:effectExtent l="0" t="0" r="635" b="6350"/>
                  <wp:docPr id="802" name="design_business_loo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" name="design_business_loop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22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243D96">
            <w:pPr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排课与计费是作品的两个核心支点。排课部分强调时间轴不重叠和顺延结果可解释，避免系统替用户做过多不可控决定；计费部分强调统一口径，按照“单价 / 基准时长 × 实际时长”计算，并在单节课程和汇总统计中统一保留两位小数。这样设计的好处是老师和负责人都能用简单方式复核结果，降低经营数据争议。</w:t>
            </w:r>
          </w:p>
          <w:p w14:paraId="684412A6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服务端采用 Node.js 与 Express 实现，保持轻量和可运维。微信登录用于换取 openid，自建 HMAC Token 用于后续请求鉴权，避免把微信 session_key 暴露给客户端。每位用户的备份按 openid 分目录保存为 JSON 文件，每次上传生成新的备份文件而不是覆盖旧文件。追加式快照降低了数据库部署门槛，也保留了事故回溯能力：当出现误导入、误覆盖或老板看到旧数据时，运维人员可以直接查看文件时间和备份内容进行判断。</w:t>
            </w:r>
          </w:p>
          <w:p w14:paraId="2880DE6D">
            <w:r>
              <w:rPr>
                <w:rFonts w:hint="eastAsia" w:ascii="宋体" w:hAnsi="宋体" w:eastAsia="宋体"/>
                <w:sz w:val="21"/>
                <w:szCs w:val="21"/>
              </w:rPr>
              <w:t>选择文件快照而不是立即引入数据库，是基于当前业务规模和交付成本的判断。工作室的主要需求是可靠保存整机快照、换机恢复、负责人读取最新数据，而不是高并发复杂查询。JSON 文件可直接备份、迁移和人工核对，适合项目早期快速落地。未来如果老师数量和历史数据持续增长，可以在不改变客户端主要接口的前提下增加索引文件、对象存储或数据库层，实现渐进升级。</w:t>
            </w:r>
          </w:p>
          <w:p w14:paraId="6272B7AB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同步与权限边界如图3所示。Local-first 产品的难点在于本地数据和云端快照可能存在时间差，因此系统将高风险操作显式化：普通编辑先保存本地，网络可用时再上传；失败时进入待上传队列；刷新登录时让用户选择“上传本地为准”或“恢复云端为准”。老板模式只读查看老师课表，仅允许负责人通过专用路径代管工作室支出，避免责任边界混乱。</w:t>
            </w:r>
          </w:p>
          <w:p w14:paraId="18D5184B">
            <w:pPr>
              <w:jc w:val="center"/>
            </w:pPr>
            <w:r>
              <w:drawing>
                <wp:inline distT="0" distB="0" distL="0" distR="0">
                  <wp:extent cx="4679950" cy="2222500"/>
                  <wp:effectExtent l="0" t="0" r="635" b="6350"/>
                  <wp:docPr id="803" name="design_sync_permiss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" name="design_sync_permission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22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23558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老板模式的设计体现了对线下组织关系的尊重。老师维护自己的课程与学生，负责人拥有经营视角，但不默认拥有任意改课权限。系统让负责人看到老师上传的最新快照，并把公共支出拆成单独的可代管对象，使“看数据”和“改数据”不混为一谈。这种边界在小团队中尤其重要，因为课程变更常常会影响家长沟通和责任归属。交互设计上，作品采用清爽的移动端工作台风格，强调快速扫描和稳定反馈。月、周、日视图负责排课主线，统计与年度汇总负责经营复盘，备份中心和设置页负责登录、恢复和账号状态。分享能力服务于微信工作流，月度课程文本和年度汇总可以在群聊中传递，部分文本还可被逆向导入，减少重复录入。界面动效保持克制，重点是让用户在课堂间隙也能快速完成操作。</w:t>
            </w:r>
          </w:p>
          <w:p w14:paraId="58EBE393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为了支撑真实运营，系统还强调可观测与排障。老师端若提示备份失败，可以先确认登录状态和网络；负责人端若看不到新课，可以从服务器最新备份时间、老师是否上传、老板端是否刷新三个环节定位。文档把这些排障步骤写清楚，是为了让作品从演示原型更接近可交付工具：出现问题时能解释、能定位、能恢复，而不是只能重新安装。</w:t>
            </w:r>
          </w:p>
          <w:p w14:paraId="59B83D96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项目文档与代码结构也服务于答辩和后续维护。客户端 README 解释产品定位、页面地图、数据模型和 Local-first 取舍；服务端 README 解释环境变量、接口契约、文件布局、安全边界和排障路径。这样在路演中可以先讲清业务痛点和解决方案，再根据评委关注点切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/>
                <w:sz w:val="21"/>
                <w:szCs w:val="21"/>
              </w:rPr>
              <w:t>换到技术架构或商业落地，不会把部署细节和产品价值混在一起。</w:t>
            </w:r>
          </w:p>
          <w:p w14:paraId="2C7A77AC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商业落地上，作品适合以轻量订阅、部署服务或工作室定制化方式推广。对小型机构而言，价值不是购买复杂系统，而是在不改变微信沟通习惯的前提下，把分散在纸本、聊天记录和表格里的课程与经营数据沉淀下来。随着使用周期增长，年度汇总、支出核算和老师视图会逐渐形成管理资产，这也是项目后续持续迭代的基础。</w:t>
            </w:r>
          </w:p>
          <w:p w14:paraId="4D4FB1D1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从创新创业角度看，本作品的价值在于把小微音乐机构的数据生命周期打通：从课程录入，到学生与价格维护，再到费用统计、支出核算、云端备份、负责人查看和恢复排障。它不以技术堆砌作为卖点，而以真实场景中的低成本落地、弱网可用、边界清晰和可追溯作为核心优势。后续可在不推翻现有架构的前提下，引入轻量索引、加密备份、审计后台和更细角色模型，逐步从单工作室工具演进为可复制的行业解决方案。</w:t>
            </w:r>
          </w:p>
        </w:tc>
      </w:tr>
      <w:tr w14:paraId="11349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8522" w:type="dxa"/>
            <w:gridSpan w:val="8"/>
            <w:noWrap w:val="0"/>
            <w:vAlign w:val="top"/>
          </w:tcPr>
          <w:p w14:paraId="37370D12">
            <w:r>
              <w:rPr>
                <w:rFonts w:hint="eastAsia" w:ascii="宋体" w:hAnsi="宋体" w:eastAsia="宋体"/>
                <w:sz w:val="21"/>
                <w:szCs w:val="21"/>
              </w:rPr>
              <w:t>设计重点和难点（约1000字，5号字勿超1页）</w:t>
            </w:r>
          </w:p>
          <w:p w14:paraId="765049B2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本地权威与云端快照的语义统一。老师端必须在弱网下可用，负责人端又希望看到最新经营情况，两者天然存在时间差。难点在于产品不能把备份包装成实时同步，而要通过备份时间、上传队列、刷新登录二选一和恢复快照，让用户理解“手机当前数据”和“服务器最后成功备份”的区别。</w:t>
            </w:r>
          </w:p>
          <w:p w14:paraId="06ED0482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排课冲突与顺延。钢琴课常按连续时段安排，修改一节课可能影响后续课程。系统需要在客户端即时完成时间换算、冲突检测和顺延提示，同时保持结果可解释，避免用户觉得课表被系统擅自改动。</w:t>
            </w:r>
          </w:p>
          <w:p w14:paraId="21177967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计费精度与统计口径。不同学生可能有不同单价和基准时长，实际课程又支持自定义分钟数。难点是把比例计费、四舍五入、月度统计和年度汇总统一到同一组工具函数中，避免页面之间出现两个算法。</w:t>
            </w:r>
          </w:p>
          <w:p w14:paraId="513AC511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老板模式的权限边界。负责人需要看老师数据和维护公共支出，但不应随意修改老师课程。系统将查看、切换视图、代管支出拆成不同路径，并在服务端校验老板认证和目标备份，尽量把技术权限与线下责任关系对齐。</w:t>
            </w:r>
          </w:p>
          <w:p w14:paraId="5AB007D3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字段演进与旧数据兼容。自定义时长、工作室支出、老板认证等字段会随版本增加，旧备份缺字段不能简单视为空数组。客户端和服务端都要区分“没有这个字段”和“字段存在但为空”，否则恢复和覆盖时容易产生误清空。</w:t>
            </w:r>
          </w:p>
          <w:p w14:paraId="3C445B17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微信环境与部署差异。小程序对 HTTPS、合法 request 域名、downloadFile 域名和基础库能力都有要求，服务端还要处理反向代理后的公网 URL。难点是让开发版、体验版和正式部署的配置路径一致，并准备可复现的排障步骤。</w:t>
            </w:r>
          </w:p>
          <w:p w14:paraId="648CA3F0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备份文件的可运维性。追加式 JSON 便于回溯，但也会带来磁盘增长和目录扫描成本。当前规模下这种成本可控，后续需要备份归档、健康检查和轻量索引，避免老板聚合在数据量增长后变慢。</w:t>
            </w:r>
          </w:p>
          <w:p w14:paraId="5BCEB07F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高风险操作的确认与回滚。导入分享文本、恢复云端快照、老板代写支出都可能影响已有数据。难点是把二次确认、上传前快照、失败提示和恢复路径做成用户能理解的流程，而不是只在代码层面保证成功。</w:t>
            </w:r>
          </w:p>
          <w:p w14:paraId="24C33576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多角色切换的心理模型。同一账号可能既是老师又完成老板认证，切换查看对象时必须明确当前读写的是谁的数据空间。难点是存储键、云端快照和页面提示都要一致，否则容易出现看似保存成功但实际写错对象的问题。</w:t>
            </w:r>
          </w:p>
        </w:tc>
      </w:tr>
      <w:tr w14:paraId="6AB07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7" w:hRule="atLeast"/>
        </w:trPr>
        <w:tc>
          <w:tcPr>
            <w:tcW w:w="8522" w:type="dxa"/>
            <w:gridSpan w:val="8"/>
            <w:noWrap w:val="0"/>
            <w:vAlign w:val="top"/>
          </w:tcPr>
          <w:p w14:paraId="05C20322">
            <w:r>
              <w:rPr>
                <w:rFonts w:hint="eastAsia" w:ascii="宋体" w:hAnsi="宋体" w:eastAsia="宋体"/>
                <w:sz w:val="21"/>
                <w:szCs w:val="21"/>
              </w:rPr>
              <w:t>项目研究进度与计划（500字内）</w:t>
            </w:r>
          </w:p>
          <w:p w14:paraId="73935185">
            <w:pPr>
              <w:ind w:firstLine="420" w:firstLineChars="200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已完成：月/周/日排课、课程编辑、自定义时长、顺延与冲突检测、学生管理、偏好定价、统计与年度汇总、工作室支出、微信登录、云端快照备份、备份恢复、老板模式老师聚合视图、老板代管支出、头像/背景托管、分享文本与导入等核心功能；</w:t>
            </w:r>
          </w:p>
          <w:p w14:paraId="56EA47F5">
            <w:pPr>
              <w:ind w:firstLine="420" w:firstLineChars="200"/>
              <w:rPr>
                <w:rFonts w:hint="eastAsia"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服务端已完成 HMAC Token 鉴权、追加式 JSON 备份、最新备份读取、用户资料、健康检查和部署文档。短期计划补充演示截图与路演视频，完善关键路径测试和备份健康检查脚本；</w:t>
            </w:r>
          </w:p>
          <w:p w14:paraId="0520E968">
            <w:pPr>
              <w:ind w:firstLine="420" w:firstLineChars="200"/>
            </w:pPr>
            <w:r>
              <w:rPr>
                <w:rFonts w:hint="eastAsia" w:ascii="宋体" w:hAnsi="宋体" w:eastAsia="宋体"/>
                <w:sz w:val="21"/>
                <w:szCs w:val="21"/>
              </w:rPr>
              <w:t>中期优化大数据量统计与老板聚合性能；长期探索加密备份、后台审计和多角色经营报表。</w:t>
            </w:r>
          </w:p>
        </w:tc>
      </w:tr>
      <w:tr w14:paraId="2B6D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8"/>
            <w:noWrap w:val="0"/>
            <w:vAlign w:val="top"/>
          </w:tcPr>
          <w:p w14:paraId="589BA455">
            <w:pPr>
              <w:rPr>
                <w:rFonts w:hint="eastAsia"/>
              </w:rPr>
            </w:pPr>
            <w:r>
              <w:rPr>
                <w:rFonts w:hint="eastAsia"/>
              </w:rPr>
              <w:t>指导老师自评（约200字）</w:t>
            </w:r>
          </w:p>
          <w:p w14:paraId="346A82F2">
            <w:pPr>
              <w:rPr>
                <w:rFonts w:hint="eastAsia"/>
              </w:rPr>
            </w:pPr>
          </w:p>
          <w:p w14:paraId="22563C26">
            <w:pPr>
              <w:rPr>
                <w:rFonts w:hint="eastAsia"/>
              </w:rPr>
            </w:pPr>
          </w:p>
          <w:p w14:paraId="1C80DD8C">
            <w:pPr>
              <w:rPr>
                <w:rFonts w:hint="eastAsia"/>
              </w:rPr>
            </w:pPr>
          </w:p>
          <w:p w14:paraId="4B993908">
            <w:pPr>
              <w:rPr>
                <w:rFonts w:hint="eastAsia"/>
              </w:rPr>
            </w:pPr>
          </w:p>
          <w:p w14:paraId="2E33EF7D"/>
        </w:tc>
      </w:tr>
      <w:tr w14:paraId="3AE52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8"/>
            <w:noWrap w:val="0"/>
            <w:vAlign w:val="top"/>
          </w:tcPr>
          <w:p w14:paraId="69A14CC1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其他说明</w:t>
            </w:r>
          </w:p>
          <w:p w14:paraId="5CA7C3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本小程序已上线，并且交付由宁波钟于钢琴工作室投入使用，小程序码如下：</w:t>
            </w:r>
          </w:p>
          <w:p w14:paraId="646E1EF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514475" cy="1514475"/>
                  <wp:effectExtent l="0" t="0" r="4445" b="4445"/>
                  <wp:docPr id="1" name="图片 1" descr="5025604d025afd60bdbe2fd1399e14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5025604d025afd60bdbe2fd1399e145a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F1FAE">
            <w:pPr>
              <w:rPr>
                <w:rFonts w:hint="default"/>
                <w:lang w:val="en-US" w:eastAsia="zh-CN"/>
              </w:rPr>
            </w:pPr>
          </w:p>
        </w:tc>
      </w:tr>
    </w:tbl>
    <w:p w14:paraId="2BA4C0DB">
      <w:pPr>
        <w:rPr>
          <w:rFonts w:hint="eastAsia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D0BEF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  <w:p w14:paraId="06B6062A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C7B51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4448C5A3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373"/>
    <w:rsid w:val="000373AC"/>
    <w:rsid w:val="000A4A3C"/>
    <w:rsid w:val="000B123D"/>
    <w:rsid w:val="00120679"/>
    <w:rsid w:val="001414EC"/>
    <w:rsid w:val="001806A2"/>
    <w:rsid w:val="00183767"/>
    <w:rsid w:val="00197D86"/>
    <w:rsid w:val="001A2A77"/>
    <w:rsid w:val="001A6469"/>
    <w:rsid w:val="00214A72"/>
    <w:rsid w:val="0024272D"/>
    <w:rsid w:val="002450B3"/>
    <w:rsid w:val="002535AC"/>
    <w:rsid w:val="002A625D"/>
    <w:rsid w:val="00304A15"/>
    <w:rsid w:val="00397046"/>
    <w:rsid w:val="003F41C3"/>
    <w:rsid w:val="00506C65"/>
    <w:rsid w:val="00513299"/>
    <w:rsid w:val="00556584"/>
    <w:rsid w:val="005A1A8D"/>
    <w:rsid w:val="005F62E1"/>
    <w:rsid w:val="00685809"/>
    <w:rsid w:val="006A08B5"/>
    <w:rsid w:val="00763C53"/>
    <w:rsid w:val="007E2095"/>
    <w:rsid w:val="008708B2"/>
    <w:rsid w:val="008B46C2"/>
    <w:rsid w:val="008B54D8"/>
    <w:rsid w:val="00917237"/>
    <w:rsid w:val="00986253"/>
    <w:rsid w:val="00996BD6"/>
    <w:rsid w:val="009C5B08"/>
    <w:rsid w:val="00A02530"/>
    <w:rsid w:val="00A07287"/>
    <w:rsid w:val="00A50983"/>
    <w:rsid w:val="00A75C2C"/>
    <w:rsid w:val="00B40DE1"/>
    <w:rsid w:val="00B53667"/>
    <w:rsid w:val="00C00264"/>
    <w:rsid w:val="00D61732"/>
    <w:rsid w:val="00E22373"/>
    <w:rsid w:val="00F0170D"/>
    <w:rsid w:val="00F477BB"/>
    <w:rsid w:val="00F85C4A"/>
    <w:rsid w:val="00FE4EC0"/>
    <w:rsid w:val="115F13F2"/>
    <w:rsid w:val="19565623"/>
    <w:rsid w:val="2103414F"/>
    <w:rsid w:val="607061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email"/>
    <w:basedOn w:val="6"/>
    <w:qFormat/>
    <w:uiPriority w:val="0"/>
  </w:style>
  <w:style w:type="character" w:customStyle="1" w:styleId="9">
    <w:name w:val="页眉 Char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4313</Words>
  <Characters>4823</Characters>
  <Lines>3</Lines>
  <Paragraphs>1</Paragraphs>
  <TotalTime>6</TotalTime>
  <ScaleCrop>false</ScaleCrop>
  <LinksUpToDate>false</LinksUpToDate>
  <CharactersWithSpaces>4910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2013-06-21T08:11:00Z</dcterms:created>
  <dc:creator>walkinnet</dc:creator>
  <cp:lastModifiedBy>WPS_1659709549</cp:lastModifiedBy>
  <cp:lastPrinted>2009-03-17T00:41:00Z</cp:lastPrinted>
  <dcterms:modified xsi:type="dcterms:W3CDTF">2026-05-07T08:10:34Z</dcterms:modified>
  <dc:title>作品编号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8F02253CD5EF40ECBE1DF9D79F65DE3B_13</vt:lpwstr>
  </property>
  <property fmtid="{D5CDD505-2E9C-101B-9397-08002B2CF9AE}" pid="4" name="KSOTemplateDocerSaveRecord">
    <vt:lpwstr>eyJoZGlkIjoiOGU2NjFlMmFjOWFjYjc4ZWRlNGIzOTJmOGE4YWFiYTYiLCJ1c2VySWQiOiIxMzkzMzc1NDk4In0=</vt:lpwstr>
  </property>
</Properties>
</file>