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"/>
        <w:gridCol w:w="726"/>
        <w:gridCol w:w="676"/>
        <w:gridCol w:w="1538"/>
        <w:gridCol w:w="2380"/>
        <w:gridCol w:w="1020"/>
        <w:gridCol w:w="854"/>
        <w:gridCol w:w="869"/>
      </w:tblGrid>
      <w:tr ns2:paraId="121C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185" w:type="dxa"/>
            <w:gridSpan w:val="2"/>
            <w:noWrap w:val="0"/>
            <w:vAlign w:val="top"/>
          </w:tcPr>
          <w:p ns2:paraId="5BD0E0E9">
            <w:r>
              <w:rPr>
                <w:rFonts w:hint="eastAsia"/>
              </w:rPr>
              <w:t>作品名称</w:t>
            </w:r>
          </w:p>
        </w:tc>
        <w:tc>
          <w:tcPr>
            <w:tcW w:w="7337" w:type="dxa"/>
            <w:gridSpan w:val="6"/>
            <w:noWrap w:val="0"/>
            <w:vAlign w:val="top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金融小助手：面向全球市场的智能数据驾驶舱</w:t>
            </w:r>
          </w:p>
        </w:tc>
      </w:tr>
      <w:tr ns2:paraId="4EB2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restart"/>
            <w:noWrap w:val="0"/>
            <w:vAlign w:val="top"/>
          </w:tcPr>
          <w:p ns2:paraId="18786203">
            <w:pPr>
              <w:rPr>
                <w:rFonts w:hint="eastAsia"/>
              </w:rPr>
            </w:pPr>
            <w:r>
              <w:rPr>
                <w:rFonts w:hint="eastAsia"/>
              </w:rPr>
              <w:t>作者信息</w:t>
            </w:r>
          </w:p>
        </w:tc>
        <w:tc>
          <w:tcPr>
            <w:tcW w:w="726" w:type="dxa"/>
            <w:noWrap w:val="0"/>
            <w:vAlign w:val="top"/>
          </w:tcPr>
          <w:p ns2:paraId="4F5B3996">
            <w:pPr>
              <w:rPr>
                <w:rFonts w:hint="eastAsia"/>
              </w:rPr>
            </w:pPr>
          </w:p>
        </w:tc>
        <w:tc>
          <w:tcPr>
            <w:tcW w:w="2214" w:type="dxa"/>
            <w:gridSpan w:val="2"/>
            <w:noWrap w:val="0"/>
            <w:vAlign w:val="top"/>
          </w:tcPr>
          <w:p ns2:paraId="2C684EDF">
            <w:pPr>
              <w:rPr>
                <w:rFonts w:hint="eastAsia"/>
              </w:rPr>
            </w:pPr>
            <w:r>
              <w:rPr>
                <w:rFonts w:hint="eastAsia"/>
              </w:rPr>
              <w:t>作者一</w:t>
            </w:r>
          </w:p>
        </w:tc>
        <w:tc>
          <w:tcPr>
            <w:tcW w:w="2380" w:type="dxa"/>
            <w:noWrap w:val="0"/>
            <w:vAlign w:val="top"/>
          </w:tcPr>
          <w:p ns2:paraId="467F7206">
            <w:pPr>
              <w:rPr>
                <w:rFonts w:hint="eastAsia"/>
              </w:rPr>
            </w:pPr>
            <w:r>
              <w:rPr>
                <w:rFonts w:hint="eastAsia"/>
              </w:rPr>
              <w:t>作者二</w:t>
            </w:r>
          </w:p>
        </w:tc>
        <w:tc>
          <w:tcPr>
            <w:tcW w:w="1020" w:type="dxa"/>
            <w:noWrap w:val="0"/>
            <w:vAlign w:val="top"/>
          </w:tcPr>
          <w:p ns2:paraId="4A115A07">
            <w:pPr>
              <w:rPr>
                <w:rFonts w:hint="eastAsia"/>
              </w:rPr>
            </w:pPr>
            <w:r>
              <w:rPr>
                <w:rFonts w:hint="eastAsia"/>
              </w:rPr>
              <w:t>作者三</w:t>
            </w:r>
          </w:p>
        </w:tc>
        <w:tc>
          <w:tcPr>
            <w:tcW w:w="854" w:type="dxa"/>
            <w:noWrap w:val="0"/>
            <w:vAlign w:val="top"/>
          </w:tcPr>
          <w:p ns2:paraId="3415BAD3">
            <w:pPr>
              <w:rPr>
                <w:rFonts w:hint="eastAsia"/>
              </w:rPr>
            </w:pPr>
            <w:r>
              <w:rPr>
                <w:rFonts w:hint="eastAsia"/>
              </w:rPr>
              <w:t>作者四</w:t>
            </w:r>
          </w:p>
        </w:tc>
        <w:tc>
          <w:tcPr>
            <w:tcW w:w="869" w:type="dxa"/>
            <w:noWrap w:val="0"/>
            <w:vAlign w:val="top"/>
          </w:tcPr>
          <w:p ns2:paraId="374DF72C">
            <w:pPr>
              <w:rPr>
                <w:rFonts w:hint="eastAsia"/>
              </w:rPr>
            </w:pPr>
            <w:r>
              <w:rPr>
                <w:rFonts w:hint="eastAsia"/>
              </w:rPr>
              <w:t>作者五</w:t>
            </w:r>
          </w:p>
        </w:tc>
      </w:tr>
      <w:tr ns2:paraId="2445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ns2:paraId="25E54A80"/>
        </w:tc>
        <w:tc>
          <w:tcPr>
            <w:tcW w:w="726" w:type="dxa"/>
            <w:noWrap w:val="0"/>
            <w:vAlign w:val="top"/>
          </w:tcPr>
          <w:p ns2:paraId="16358E02">
            <w:r>
              <w:rPr>
                <w:rFonts w:hint="eastAsia"/>
              </w:rPr>
              <w:t>院系</w:t>
            </w:r>
          </w:p>
        </w:tc>
        <w:tc>
          <w:tcPr>
            <w:tcW w:w="2214" w:type="dxa"/>
            <w:gridSpan w:val="2"/>
            <w:noWrap w:val="0"/>
            <w:vAlign w:val="top"/>
          </w:tcPr>
          <w:p ns2:paraId="4A7924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  <w:tc>
          <w:tcPr>
            <w:tcW w:w="2380" w:type="dxa"/>
            <w:noWrap w:val="0"/>
            <w:vAlign w:val="top"/>
          </w:tcPr>
          <w:p ns2:paraId="1AEC1E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  <w:tc>
          <w:tcPr>
            <w:tcW w:w="1020" w:type="dxa"/>
            <w:noWrap w:val="0"/>
            <w:vAlign w:val="top"/>
          </w:tcPr>
          <w:p ns2:paraId="38D98933"/>
        </w:tc>
        <w:tc>
          <w:tcPr>
            <w:tcW w:w="854" w:type="dxa"/>
            <w:noWrap w:val="0"/>
            <w:vAlign w:val="top"/>
          </w:tcPr>
          <w:p ns2:paraId="25B139AC"/>
        </w:tc>
        <w:tc>
          <w:tcPr>
            <w:tcW w:w="869" w:type="dxa"/>
            <w:noWrap w:val="0"/>
            <w:vAlign w:val="top"/>
          </w:tcPr>
          <w:p ns2:paraId="4B0DF0B7"/>
        </w:tc>
      </w:tr>
      <w:tr ns2:paraId="6AED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ns2:paraId="7F5E4485"/>
        </w:tc>
        <w:tc>
          <w:tcPr>
            <w:tcW w:w="726" w:type="dxa"/>
            <w:noWrap w:val="0"/>
            <w:vAlign w:val="top"/>
          </w:tcPr>
          <w:p ns2:paraId="282C14CD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214" w:type="dxa"/>
            <w:gridSpan w:val="2"/>
            <w:noWrap w:val="0"/>
            <w:vAlign w:val="top"/>
          </w:tcPr>
          <w:p ns2:paraId="2036DA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史健申</w:t>
            </w:r>
          </w:p>
        </w:tc>
        <w:tc>
          <w:tcPr>
            <w:tcW w:w="2380" w:type="dxa"/>
            <w:noWrap w:val="0"/>
            <w:vAlign w:val="top"/>
          </w:tcPr>
          <w:p ns2:paraId="5EF47F00">
            <w:r>
              <w:rPr>
                <w:rFonts w:hint="eastAsia"/>
              </w:rPr>
              <w:t>钟浩</w:t>
            </w:r>
          </w:p>
        </w:tc>
        <w:tc>
          <w:tcPr>
            <w:tcW w:w="1020" w:type="dxa"/>
            <w:noWrap w:val="0"/>
            <w:vAlign w:val="top"/>
          </w:tcPr>
          <w:p ns2:paraId="35C3CE01"/>
        </w:tc>
        <w:tc>
          <w:tcPr>
            <w:tcW w:w="854" w:type="dxa"/>
            <w:noWrap w:val="0"/>
            <w:vAlign w:val="top"/>
          </w:tcPr>
          <w:p ns2:paraId="08F880D1"/>
        </w:tc>
        <w:tc>
          <w:tcPr>
            <w:tcW w:w="869" w:type="dxa"/>
            <w:noWrap w:val="0"/>
            <w:vAlign w:val="top"/>
          </w:tcPr>
          <w:p ns2:paraId="323981BD"/>
        </w:tc>
      </w:tr>
      <w:tr ns2:paraId="6B60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ns2:paraId="2BFFB153"/>
        </w:tc>
        <w:tc>
          <w:tcPr>
            <w:tcW w:w="726" w:type="dxa"/>
            <w:noWrap w:val="0"/>
            <w:vAlign w:val="top"/>
          </w:tcPr>
          <w:p ns2:paraId="78C8812A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214" w:type="dxa"/>
            <w:gridSpan w:val="2"/>
            <w:noWrap w:val="0"/>
            <w:vAlign w:val="top"/>
          </w:tcPr>
          <w:p ns2:paraId="7B009AC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10235101561</w:t>
            </w:r>
          </w:p>
        </w:tc>
        <w:tc>
          <w:tcPr>
            <w:tcW w:w="2380" w:type="dxa"/>
            <w:noWrap w:val="0"/>
            <w:vAlign w:val="top"/>
          </w:tcPr>
          <w:p ns2:paraId="0D00FAE6">
            <w:r>
              <w:rPr>
                <w:rFonts w:hint="eastAsia"/>
              </w:rPr>
              <w:t>10225101490</w:t>
            </w:r>
          </w:p>
        </w:tc>
        <w:tc>
          <w:tcPr>
            <w:tcW w:w="1020" w:type="dxa"/>
            <w:noWrap w:val="0"/>
            <w:vAlign w:val="top"/>
          </w:tcPr>
          <w:p ns2:paraId="54436B85"/>
        </w:tc>
        <w:tc>
          <w:tcPr>
            <w:tcW w:w="854" w:type="dxa"/>
            <w:noWrap w:val="0"/>
            <w:vAlign w:val="top"/>
          </w:tcPr>
          <w:p ns2:paraId="7A8A521D"/>
        </w:tc>
        <w:tc>
          <w:tcPr>
            <w:tcW w:w="869" w:type="dxa"/>
            <w:noWrap w:val="0"/>
            <w:vAlign w:val="top"/>
          </w:tcPr>
          <w:p ns2:paraId="2AD8D802"/>
        </w:tc>
      </w:tr>
      <w:tr ns2:paraId="409D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ns2:paraId="6AD18271"/>
        </w:tc>
        <w:tc>
          <w:tcPr>
            <w:tcW w:w="726" w:type="dxa"/>
            <w:noWrap w:val="0"/>
            <w:vAlign w:val="top"/>
          </w:tcPr>
          <w:p ns2:paraId="057C8F04">
            <w:pPr>
              <w:rPr>
                <w:rFonts w:hint="eastAsia"/>
              </w:rPr>
            </w:pPr>
            <w:r>
              <w:rPr>
                <w:rFonts w:hint="eastAsia"/>
              </w:rPr>
              <w:t>信箱</w:t>
            </w:r>
          </w:p>
        </w:tc>
        <w:tc>
          <w:tcPr>
            <w:tcW w:w="2214" w:type="dxa"/>
            <w:gridSpan w:val="2"/>
            <w:noWrap w:val="0"/>
            <w:vAlign w:val="top"/>
          </w:tcPr>
          <w:p ns2:paraId="38CC16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18130570903@163.com</w:t>
            </w:r>
          </w:p>
        </w:tc>
        <w:tc>
          <w:tcPr>
            <w:tcW w:w="2380" w:type="dxa"/>
            <w:noWrap w:val="0"/>
            <w:vAlign w:val="top"/>
          </w:tcPr>
          <w:p ns2:paraId="2F9AAD09">
            <w:r>
              <w:rPr>
                <w:rFonts w:hint="eastAsia"/>
              </w:rPr>
              <w:t>2177686531@qq.com</w:t>
            </w:r>
          </w:p>
        </w:tc>
        <w:tc>
          <w:tcPr>
            <w:tcW w:w="1020" w:type="dxa"/>
            <w:noWrap w:val="0"/>
            <w:vAlign w:val="top"/>
          </w:tcPr>
          <w:p ns2:paraId="0AB7CBFE"/>
        </w:tc>
        <w:tc>
          <w:tcPr>
            <w:tcW w:w="854" w:type="dxa"/>
            <w:noWrap w:val="0"/>
            <w:vAlign w:val="top"/>
          </w:tcPr>
          <w:p ns2:paraId="26245A3E"/>
        </w:tc>
        <w:tc>
          <w:tcPr>
            <w:tcW w:w="869" w:type="dxa"/>
            <w:noWrap w:val="0"/>
            <w:vAlign w:val="top"/>
          </w:tcPr>
          <w:p ns2:paraId="660FB004"/>
        </w:tc>
      </w:tr>
      <w:tr ns2:paraId="5F89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ns2:paraId="01A546F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726" w:type="dxa"/>
            <w:noWrap w:val="0"/>
            <w:vAlign w:val="top"/>
          </w:tcPr>
          <w:p ns2:paraId="53723620">
            <w:pPr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2214" w:type="dxa"/>
            <w:gridSpan w:val="2"/>
            <w:noWrap w:val="0"/>
            <w:vAlign w:val="top"/>
          </w:tcPr>
          <w:p ns2:paraId="43CF4E6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18130570903</w:t>
            </w:r>
          </w:p>
        </w:tc>
        <w:tc>
          <w:tcPr>
            <w:tcW w:w="2380" w:type="dxa"/>
            <w:noWrap w:val="0"/>
            <w:vAlign w:val="center"/>
          </w:tcPr>
          <w:p ns2:paraId="43EE729B">
            <w:r>
              <w:rPr>
                <w:rFonts w:hint="eastAsia"/>
              </w:rPr>
              <w:t>19279985142</w:t>
            </w:r>
          </w:p>
        </w:tc>
        <w:tc>
          <w:tcPr>
            <w:tcW w:w="1020" w:type="dxa"/>
            <w:noWrap w:val="0"/>
            <w:vAlign w:val="center"/>
          </w:tcPr>
          <w:p ns2:paraId="4774AEBE"/>
        </w:tc>
        <w:tc>
          <w:tcPr>
            <w:tcW w:w="854" w:type="dxa"/>
            <w:noWrap w:val="0"/>
            <w:vAlign w:val="top"/>
          </w:tcPr>
          <w:p ns2:paraId="19C02FE6"/>
        </w:tc>
        <w:tc>
          <w:tcPr>
            <w:tcW w:w="869" w:type="dxa"/>
            <w:noWrap w:val="0"/>
            <w:vAlign w:val="top"/>
          </w:tcPr>
          <w:p ns2:paraId="5FFA7D7B"/>
        </w:tc>
      </w:tr>
      <w:tr ns2:paraId="2FEC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gridSpan w:val="2"/>
            <w:vMerge w:val="restart"/>
            <w:noWrap w:val="0"/>
            <w:vAlign w:val="top"/>
          </w:tcPr>
          <w:p ns2:paraId="36CD9B2D">
            <w:r>
              <w:rPr>
                <w:rFonts w:hint="eastAsia"/>
              </w:rPr>
              <w:t>指导教师</w:t>
            </w:r>
          </w:p>
        </w:tc>
        <w:tc>
          <w:tcPr>
            <w:tcW w:w="676" w:type="dxa"/>
            <w:noWrap w:val="0"/>
            <w:vAlign w:val="top"/>
          </w:tcPr>
          <w:p ns2:paraId="113018EF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538" w:type="dxa"/>
            <w:noWrap w:val="0"/>
            <w:vAlign w:val="top"/>
          </w:tcPr>
          <w:p ns2:paraId="55C7508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曹桂涛</w:t>
            </w:r>
          </w:p>
        </w:tc>
        <w:tc>
          <w:tcPr>
            <w:tcW w:w="2380" w:type="dxa"/>
            <w:noWrap w:val="0"/>
            <w:vAlign w:val="top"/>
          </w:tcPr>
          <w:p ns2:paraId="1EB717DC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2743" w:type="dxa"/>
            <w:gridSpan w:val="3"/>
            <w:noWrap w:val="0"/>
            <w:vAlign w:val="top"/>
          </w:tcPr>
          <w:p ns2:paraId="1B692ED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华东师范大学软件工程学院</w:t>
            </w:r>
          </w:p>
        </w:tc>
      </w:tr>
      <w:tr ns2:paraId="056C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gridSpan w:val="2"/>
            <w:vMerge w:val="continue"/>
            <w:noWrap w:val="0"/>
            <w:vAlign w:val="top"/>
          </w:tcPr>
          <w:p ns2:paraId="22AE9961"/>
        </w:tc>
        <w:tc>
          <w:tcPr>
            <w:tcW w:w="676" w:type="dxa"/>
            <w:noWrap w:val="0"/>
            <w:vAlign w:val="top"/>
          </w:tcPr>
          <w:p ns2:paraId="7F657A95">
            <w:pPr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1538" w:type="dxa"/>
            <w:noWrap w:val="0"/>
            <w:vAlign w:val="top"/>
          </w:tcPr>
          <w:p ns2:paraId="13C1D572">
            <w:pPr>
              <w:rPr>
                <w:rFonts w:hint="eastAsia"/>
              </w:rPr>
            </w:pPr>
            <w:r>
              <w:rPr>
                <w:rFonts w:hint="eastAsia"/>
              </w:rPr>
              <w:t>021-62232557</w:t>
            </w:r>
          </w:p>
        </w:tc>
        <w:tc>
          <w:tcPr>
            <w:tcW w:w="2380" w:type="dxa"/>
            <w:noWrap w:val="0"/>
            <w:vAlign w:val="top"/>
          </w:tcPr>
          <w:p ns2:paraId="2C7429B1">
            <w:pPr>
              <w:rPr>
                <w:rFonts w:hint="eastAsia"/>
              </w:rPr>
            </w:pPr>
            <w:r>
              <w:rPr>
                <w:rFonts w:hint="eastAsia"/>
              </w:rPr>
              <w:t>信箱</w:t>
            </w:r>
          </w:p>
        </w:tc>
        <w:tc>
          <w:tcPr>
            <w:tcW w:w="2743" w:type="dxa"/>
            <w:gridSpan w:val="3"/>
            <w:noWrap w:val="0"/>
            <w:vAlign w:val="top"/>
          </w:tcPr>
          <w:p ns2:paraId="7F8E1664">
            <w:pPr>
              <w:rPr>
                <w:rFonts w:hint="eastAsia"/>
              </w:rPr>
            </w:pPr>
            <w:r>
              <w:rPr>
                <w:rFonts w:hint="eastAsia"/>
              </w:rPr>
              <w:t>gtcao@sei.ecnu.edu.cn</w:t>
            </w:r>
          </w:p>
        </w:tc>
      </w:tr>
      <w:tr ns2:paraId="6FBC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作品简介（设计目标与意义、关键技术、作品特色）约200字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金融小助手是一套面向金融学习、市场观察与路演展示的全球市场智能数据驾驶舱。作品将汇率换算、主要指数、趋势图谱、跨时区市场时钟、3D 地球可视化、权威来源核验与数据质量提示集成为统一入口，解决金融信息分散、时区割裂、数据可信度不透明等痛点。系统以轻量边缘服务和原生可视化为基础，构建多源数据融合、质量分级、缓存韧性与可观测诊断能力，在低成本条件下实现可访问、可解释、可展示、可扩展的金融信息产品原型，具备较强的工程完整度和应用推广价值。</w:t>
            </w:r>
          </w:p>
        </w:tc>
      </w:tr>
      <w:tr ns2:paraId="4530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522" w:type="dxa"/>
            <w:gridSpan w:val="8"/>
            <w:noWrap w:val="0"/>
            <w:vAlign w:val="top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作品安装说明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作品以完整交付包形式提供，内置运行环境、数据适配能力与浏览器端展示界面。评审或展示时启动交付包后即可进入金融小助手控制台，系统会自动完成数据加载、缓存刷新、图表渲染和 3D 市场视图初始化。若需多人同步体验，可根据展示场地条件启用公网演示入口，支持评委和观众通过浏览器访问同一作品界面。推荐使用最新版 Chrome、Edge 或 Firefox，以获得完整的 3D 可视化和图表交互效果。</w:t>
            </w:r>
          </w:p>
        </w:tc>
      </w:tr>
      <w:tr ns2:paraId="2F2F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8522" w:type="dxa"/>
            <w:gridSpan w:val="8"/>
            <w:noWrap w:val="0"/>
            <w:vAlign w:val="top"/>
          </w:tcPr>
          <w:p ns2:paraId="4DC57D2C">
            <w:pPr>
              <w:jc w:val="left"/>
              <w:rPr>
                <w:rFonts w:hint="eastAsia"/>
                <w:lang w:val="en-US" w:eastAsia="zh-CN"/>
              </w:rPr>
            </w:pPr>
          </w:p>
          <w:p ns2:paraId="298E1508">
            <w:pPr>
              <w:rPr>
                <w:rFonts w:hint="default"/>
                <w:lang w:val="en-US" w:eastAsia="zh-CN"/>
              </w:rPr>
            </w:pPr>
          </w:p>
        </w:tc>
      </w:tr>
      <w:tr ns2:paraId="204F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作品效果图（整体、关键点和特效，见同目录“金融小助手_图文素材”：产品总览、系统架构、数据流、3D地球交互）。图示重点呈现全球市场入口、多源数据治理、可观测诊断和沉浸式交互效果。</w:t>
            </w:r>
          </w:p>
        </w:tc>
      </w:tr>
      <w:tr ns2:paraId="3F19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设计思路（约3000字，可附图，共占2～3页）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金融小助手的设计定位不是传统意义上的“行情展示页”，而是一个面向学习、展示和轻量研究场景的 Market Intelligence Console。作品从金融信息消费链路出发，把“看汇率、看指数、看趋势、看市场时间、看数据来源、看可信状态”整合到一个统一入口中，让用户不再在多个网页、时区换算工具和数据源之间反复切换。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产品层面，系统将全球市场抽象为可探索的空间界面。3D 地球把北京、纽约、伦敦、法兰克福、东京、香港等核心市场放到真实地理位置上，配合跨时区时钟、市场光点和交互联动，帮助用户直观看到“现在是哪一个市场正在运行”。这使金融信息从静态表格升级为具备空间感、时间感和展示冲击力的交互体验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数据层面，作品采用多源融合思路，将汇率、指数、趋势、地理边界和市场元信息统一治理。不同公开数据源的字段结构、时间口径和可用性差异较大，系统通过适配层完成字段归一、市场时区标注、北京时间对照、来源链接映射和质量状态输出，使前端只消费稳定的领域对象，而不暴露复杂的数据源差异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可信度是本作品的重要设计原则。金融信息不能只追求“看起来实时”，更要说明数据处于实时、延迟、缓存、兜底或不可用的哪一种状态。系统引入 Quality of Data 概念，将数据质量显式呈现；指数涨跌幅优先使用同一来源字段，避免点位正确但涨跌幅失真的情况；趋势数据不足时明确展示质量说明，而不是把不确定结果包装成精确行情。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工程架构上，作品采用轻量边缘服务与原生前端可视化结合的方式。服务层负责统一接口、数据适配、缓存治理、异常兜底、健康检查与诊断信息输出；展示层负责响应式界面、主题偏好、图表交互、3D 地球和市场联动。这样的架构既降低部署门槛，又保留清晰的工程边界，便于后续扩展到更多资产类别和正式云端环境。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性能与稳定性方面，系统围绕 Resilience 进行设计。汇率和指数使用较短缓存保证新鲜度，趋势图等历史数据使用更长缓存降低外部请求压力；请求合并、超时控制和过期可用策略保证数据源波动时核心界面仍可工作。对用户而言，看到的是连续、可解释的金融看板；对开发者和评审而言，系统背后有完整的稳定性治理逻辑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可观测性是区别于普通页面作品的关键能力。系统不仅展示结果，还能够解释结果：数据何时更新、来自何处、是否使用缓存、是否出现过源站失败、接口响应是否正常，都可以通过诊断视图体现。比赛展示时，这一能力让作品从“页面做得好看”进一步提升为“系统做得可信”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汇率模块围绕“计算能力”和“权威核验”两条线展开。系统内部保留足够精度，并根据不同货币数量级进行自适应展示，避免小额币种汇率显示失真；同时为用户提供官方或权威来源入口，使自动计算结果能够回到可信来源中核验，体现对金融数据严谨性的尊重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指数与趋势模块强调信息密度和渐进探索。用户可以在总览中快速比较主要市场指数，也可以进一步查看单一指数的趋势、市场时间、北京时间、来源和质量状态。分时、日 K、月 K 等模式使作品兼具即时观察和历史比较能力，适合课堂讲解、社团讨论和路演演示。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视觉体验上，作品同时支持暗色与浅色模式，并提供红涨绿跌、绿涨红跌两类涨跌颜色偏好，适配中西方金融市场视觉习惯。动画主要服务于状态变化、图表切换和地球交互，避免为炫技而炫技，使界面既有科技感，又保持阅读效率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分发设计上，作品坚持低成本、高可达的原则。交付包可在常见展示环境中快速运行，也可根据场地条件开放浏览器访问入口，让评委和观众通过自己的设备体验同一界面。该路线让项目具备很强的比赛展示适应性，也为未来推广到课堂、实验室和校园社团提供基础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从创新创业价值看，金融小助手的亮点不是单一技术堆叠，而是把多源数据融合、数据质量治理、沉浸式可视化、可观测诊断和低成本分发组织成完整闭环。它既能作为金融学习工具，也能作为轻量市场观察平台；后续可扩展自选市场、学习卡片、价格提醒、跨资产对比、合规数据源和账号体系，逐步演进为教育版全球市场智能分析平台。</w:t>
            </w:r>
          </w:p>
        </w:tc>
      </w:tr>
      <w:tr ns2:paraId="1134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8522" w:type="dxa"/>
            <w:gridSpan w:val="8"/>
            <w:noWrap w:val="0"/>
            <w:vAlign w:val="top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设计重点和难点（约1000字，5号字勿超1页）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第一，数据可信边界。公开数据源存在延迟、限流、字段缺失和短时不可用，作品不能把学习展示型数据包装成交易级终端，因此必须把实时、延迟、缓存、兜底等状态显式呈现，让用户理解数据能力边界。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第二，多源字段归一。汇率、指数、趋势和地理信息来自不同类型的数据源，字段命名、时间口径、更新频率和错误形式都不一致。系统需要在服务层完成标准化建模，才能保证前端展示稳定、扩展成本可控。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第三，涨跌幅一致性。金融指数展示中，点位、涨跌额和涨跌幅必须保持同源口径。项目针对早期可能出现的口径不一致问题建立约束：优先使用同一来源返回字段，缺失时通过质量状态提示，而不是用不可靠基准自行推算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第四，缓存与刷新平衡。作品既要有现场演示的即时反馈，又不能对免费公开源形成高频压力。系统通过分层 TTL、请求合并、超时控制和过期可用策略，在体验流畅度、数据新鲜度和稳定性之间取得平衡。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第五，3D 可视化性能。高精度地理边界、市场光点、地球旋转和响应式布局会带来渲染压力。作品需要在视觉冲击力、移动端适配和帧率之间做取舍，使 3D 地球既好看、可交互，又不会影响核心信息阅读。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第六，金融表达严谨性。作品需明确其定位为学习、展示和市场观察工具，不构成投资建议；同时通过权威来源跳转、质量标签和免责说明提升表达的专业度与合规意识。</w:t>
            </w:r>
          </w:p>
        </w:tc>
      </w:tr>
      <w:tr ns2:paraId="6AB0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8522" w:type="dxa"/>
            <w:gridSpan w:val="8"/>
            <w:noWrap w:val="0"/>
            <w:vAlign w:val="top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项目研究进度与计划（500字内）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已完成：全球市场智能控制台主体功能已成型，包括汇率换算、主要指数总览、分时/日K/月K趋势图、3D 交互地球、跨时区市场时钟、权威来源跳转、数据质量标签、主题切换、涨跌颜色偏好、自动刷新、多源适配、缓存治理、异常兜底和诊断视图。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短期计划：继续补充更多稳定数据源，优化移动端展示、公开演示一致性、浏览器兼容性和自动化验收；完善作品说明、展示素材和路演讲解逻辑。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中期计划：增加自选市场、学习卡片、价格提醒、跨资产对比和历史复盘功能，使作品从比赛展示型原型升级为可持续使用的金融学习工具。</w:t>
            </w:r>
          </w:p>
          <w:p>
            <w:r>
              <w:rPr>
                <w:rFonts w:hint="eastAsia" w:ascii="宋体" w:hAnsi="宋体" w:eastAsia="宋体"/>
                <w:sz w:val="21"/>
                <w:szCs w:val="21"/>
              </w:rPr>
              <w:t>长期计划：探索正式云部署、合规数据源接入、账号体系、报表导出、访问控制和教育场景产品化，形成面向高校金融科技学习与市场认知训练的轻量平台。</w:t>
            </w:r>
          </w:p>
        </w:tc>
      </w:tr>
      <w:tr ns2:paraId="2B6D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指导老师自评（约200字）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该作品选题贴近金融科技与数据可视化交叉方向，能够在有限资源条件下完成从需求分析、系统设计、数据治理、前端交互到展示分发的完整闭环。团队对金融数据可信边界有较清醒认识，没有停留在简单页面展示，而是进一步考虑多源适配、质量标注、缓存韧性、可观测诊断和用户体验。作品完成度较高，工程实现扎实，展示效果突出，具备继续扩展为金融学习与市场观察平台的潜力。建议后续继续加强合规数据源、自动化测试和正式部署能力。</w:t>
            </w:r>
          </w:p>
        </w:tc>
      </w:tr>
      <w:tr ns2:paraId="3AE5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其他说明</w:t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团队组长为史健申，参赛队员为史健申、钟浩，指导老师为曹桂涛。作品定位于金融学习、数据可视化展示和市场观察场景，不构成任何投资建议。受公开数据源更新频率和访问稳定性影响，部分行情可能存在延迟，系统已通过质量标签、来源跳转和诊断信息进行提示。</w:t>
            </w:r>
          </w:p>
        </w:tc>
      </w:tr>
    </w:tbl>
    <w:p ns2:paraId="2BA4C0DB"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D0BEF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06B6062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7B51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448C5A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373"/>
    <w:rsid w:val="000373AC"/>
    <w:rsid w:val="000A4A3C"/>
    <w:rsid w:val="000B123D"/>
    <w:rsid w:val="00120679"/>
    <w:rsid w:val="001414EC"/>
    <w:rsid w:val="001806A2"/>
    <w:rsid w:val="00183767"/>
    <w:rsid w:val="00197D86"/>
    <w:rsid w:val="001A2A77"/>
    <w:rsid w:val="001A6469"/>
    <w:rsid w:val="00214A72"/>
    <w:rsid w:val="0024272D"/>
    <w:rsid w:val="002450B3"/>
    <w:rsid w:val="002535AC"/>
    <w:rsid w:val="002A625D"/>
    <w:rsid w:val="00304A15"/>
    <w:rsid w:val="00397046"/>
    <w:rsid w:val="003F41C3"/>
    <w:rsid w:val="00506C65"/>
    <w:rsid w:val="00513299"/>
    <w:rsid w:val="00556584"/>
    <w:rsid w:val="005A1A8D"/>
    <w:rsid w:val="005F62E1"/>
    <w:rsid w:val="00685809"/>
    <w:rsid w:val="006A08B5"/>
    <w:rsid w:val="00763C53"/>
    <w:rsid w:val="007E2095"/>
    <w:rsid w:val="008708B2"/>
    <w:rsid w:val="008B46C2"/>
    <w:rsid w:val="008B54D8"/>
    <w:rsid w:val="00917237"/>
    <w:rsid w:val="00986253"/>
    <w:rsid w:val="00996BD6"/>
    <w:rsid w:val="009C5B08"/>
    <w:rsid w:val="00A02530"/>
    <w:rsid w:val="00A07287"/>
    <w:rsid w:val="00A50983"/>
    <w:rsid w:val="00A75C2C"/>
    <w:rsid w:val="00B40DE1"/>
    <w:rsid w:val="00B53667"/>
    <w:rsid w:val="00C00264"/>
    <w:rsid w:val="00D61732"/>
    <w:rsid w:val="00E22373"/>
    <w:rsid w:val="00F0170D"/>
    <w:rsid w:val="00F477BB"/>
    <w:rsid w:val="00F85C4A"/>
    <w:rsid w:val="00FE4EC0"/>
    <w:rsid w:val="08C618BB"/>
    <w:rsid w:val="115F13F2"/>
    <w:rsid w:val="19565623"/>
    <w:rsid w:val="2103414F"/>
    <w:rsid w:val="607061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email"/>
    <w:basedOn w:val="6"/>
    <w:qFormat/>
    <w:uiPriority w:val="0"/>
  </w:style>
  <w:style w:type="character" w:customStyle="1" w:styleId="9">
    <w:name w:val="页眉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2833</Words>
  <Characters>3642</Characters>
  <Lines>3</Lines>
  <Paragraphs>1</Paragraphs>
  <TotalTime>10</TotalTime>
  <ScaleCrop>false</ScaleCrop>
  <LinksUpToDate>false</LinksUpToDate>
  <CharactersWithSpaces>3760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2013-06-21T08:11:00Z</dcterms:created>
  <dc:creator>walkinnet</dc:creator>
  <cp:lastModifiedBy>WPS_1659709549</cp:lastModifiedBy>
  <cp:lastPrinted>2009-03-17T00:41:00Z</cp:lastPrinted>
  <dcterms:modified xsi:type="dcterms:W3CDTF">2026-05-19T04:26:21Z</dcterms:modified>
  <dc:title>作品编号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8F02253CD5EF40ECBE1DF9D79F65DE3B_13</vt:lpwstr>
  </property>
  <property fmtid="{D5CDD505-2E9C-101B-9397-08002B2CF9AE}" pid="4" name="KSOTemplateDocerSaveRecord">
    <vt:lpwstr>eyJoZGlkIjoiOGU2NjFlMmFjOWFjYjc4ZWRlNGIzOTJmOGE4YWFiYTYiLCJ1c2VySWQiOiIxMzkzMzc1NDk4In0=</vt:lpwstr>
  </property>
</Properties>
</file>