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D3830">
      <w:pPr>
        <w:adjustRightInd w:val="0"/>
        <w:snapToGrid w:val="0"/>
        <w:spacing w:before="100" w:beforeAutospacing="1" w:after="100" w:afterAutospacing="1" w:line="360" w:lineRule="auto"/>
        <w:jc w:val="center"/>
      </w:pPr>
      <w:r>
        <w:rPr>
          <w:rFonts w:hint="eastAsia"/>
          <w:szCs w:val="21"/>
        </w:rPr>
        <w:t> </w:t>
      </w:r>
    </w:p>
    <w:p w14:paraId="70E0F8E7">
      <w:pPr>
        <w:spacing w:before="100" w:beforeAutospacing="1" w:after="100" w:afterAutospacing="1"/>
        <w:jc w:val="center"/>
      </w:pPr>
      <w:r>
        <w:rPr>
          <w:rStyle w:val="133"/>
          <w:rFonts w:hint="eastAsia" w:ascii="华文中宋" w:hAnsi="华文中宋" w:eastAsia="华文中宋"/>
          <w:bCs w:val="0"/>
          <w:color w:val="000000"/>
          <w:spacing w:val="20"/>
          <w:sz w:val="44"/>
          <w:szCs w:val="44"/>
        </w:rPr>
        <w:t>2024级《工程概论》课程论文</w:t>
      </w:r>
    </w:p>
    <w:p w14:paraId="74EBC403">
      <w:pPr>
        <w:spacing w:before="100" w:beforeAutospacing="1" w:after="100" w:afterAutospacing="1"/>
        <w:ind w:left="147" w:leftChars="67"/>
        <w:jc w:val="center"/>
      </w:pPr>
      <w:r>
        <w:rPr>
          <w:rStyle w:val="133"/>
          <w:rFonts w:hint="eastAsia" w:ascii="楷体_GB2312" w:eastAsia="楷体_GB2312"/>
          <w:bCs w:val="0"/>
          <w:color w:val="000000"/>
          <w:spacing w:val="22"/>
          <w:sz w:val="28"/>
          <w:szCs w:val="28"/>
        </w:rPr>
        <w:t>2025-2026学年第２学期</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249"/>
        <w:gridCol w:w="1134"/>
        <w:gridCol w:w="1843"/>
        <w:gridCol w:w="1134"/>
        <w:gridCol w:w="1184"/>
      </w:tblGrid>
      <w:tr w14:paraId="1077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2" w:type="dxa"/>
            <w:tcBorders>
              <w:top w:val="single" w:color="auto" w:sz="4" w:space="0"/>
              <w:left w:val="single" w:color="auto" w:sz="4" w:space="0"/>
              <w:bottom w:val="single" w:color="auto" w:sz="4" w:space="0"/>
              <w:right w:val="single" w:color="auto" w:sz="4" w:space="0"/>
            </w:tcBorders>
            <w:noWrap w:val="0"/>
            <w:vAlign w:val="top"/>
          </w:tcPr>
          <w:p w14:paraId="11992DA7">
            <w:pPr>
              <w:spacing w:before="100" w:beforeAutospacing="1" w:after="100" w:afterAutospacing="1"/>
              <w:rPr>
                <w:rFonts w:ascii="宋体" w:hAnsi="宋体" w:cs="宋体"/>
                <w:sz w:val="24"/>
              </w:rPr>
            </w:pPr>
            <w:r>
              <w:rPr>
                <w:rStyle w:val="133"/>
                <w:rFonts w:hint="eastAsia" w:ascii="仿宋_GB2312" w:eastAsia="仿宋_GB2312"/>
                <w:bCs w:val="0"/>
                <w:color w:val="000000"/>
                <w:spacing w:val="20"/>
                <w:sz w:val="48"/>
                <w:szCs w:val="52"/>
              </w:rPr>
              <w:t> </w:t>
            </w:r>
            <w:r>
              <w:rPr>
                <w:rStyle w:val="133"/>
                <w:rFonts w:hint="eastAsia" w:ascii="楷体_GB2312" w:eastAsia="楷体_GB2312"/>
                <w:bCs w:val="0"/>
                <w:color w:val="000000"/>
                <w:spacing w:val="20"/>
                <w:sz w:val="36"/>
                <w:szCs w:val="36"/>
              </w:rPr>
              <w:t>学号</w:t>
            </w:r>
          </w:p>
        </w:tc>
        <w:tc>
          <w:tcPr>
            <w:tcW w:w="1985" w:type="dxa"/>
            <w:tcBorders>
              <w:top w:val="single" w:color="auto" w:sz="4" w:space="0"/>
              <w:left w:val="single" w:color="auto" w:sz="4" w:space="0"/>
              <w:bottom w:val="single" w:color="auto" w:sz="4" w:space="0"/>
              <w:right w:val="single" w:color="auto" w:sz="4" w:space="0"/>
            </w:tcBorders>
            <w:noWrap w:val="0"/>
            <w:vAlign w:val="top"/>
          </w:tcPr>
          <w:p w14:paraId="0758D6AB">
            <w:pPr>
              <w:spacing w:before="100" w:beforeAutospacing="1" w:after="100" w:afterAutospacing="1"/>
              <w:rPr>
                <w:rFonts w:hint="default" w:ascii="宋体" w:hAnsi="宋体" w:eastAsia="楷体_GB2312" w:cs="宋体"/>
                <w:sz w:val="28"/>
                <w:szCs w:val="28"/>
                <w:lang w:val="en-US" w:eastAsia="zh-CN"/>
              </w:rPr>
            </w:pPr>
            <w:r>
              <w:rPr>
                <w:rStyle w:val="133"/>
                <w:rFonts w:hint="eastAsia" w:ascii="楷体_GB2312" w:eastAsia="楷体_GB2312"/>
                <w:bCs w:val="0"/>
                <w:color w:val="000000"/>
                <w:spacing w:val="20"/>
                <w:sz w:val="36"/>
                <w:szCs w:val="36"/>
              </w:rPr>
              <w:t> </w:t>
            </w:r>
            <w:r>
              <w:rPr>
                <w:rStyle w:val="133"/>
                <w:rFonts w:hint="eastAsia" w:ascii="楷体_GB2312" w:eastAsia="楷体_GB2312"/>
                <w:bCs w:val="0"/>
                <w:color w:val="000000"/>
                <w:spacing w:val="20"/>
                <w:sz w:val="28"/>
                <w:szCs w:val="28"/>
                <w:lang w:val="en-US" w:eastAsia="zh-CN"/>
              </w:rPr>
              <w:t>202421213072</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462AC038">
            <w:pPr>
              <w:spacing w:before="100" w:beforeAutospacing="1" w:after="100" w:afterAutospacing="1"/>
              <w:rPr>
                <w:rFonts w:ascii="宋体" w:hAnsi="宋体" w:cs="宋体"/>
                <w:sz w:val="24"/>
              </w:rPr>
            </w:pPr>
            <w:r>
              <w:rPr>
                <w:rStyle w:val="133"/>
                <w:rFonts w:hint="eastAsia" w:ascii="楷体_GB2312" w:eastAsia="楷体_GB2312"/>
                <w:bCs w:val="0"/>
                <w:color w:val="000000"/>
                <w:spacing w:val="20"/>
                <w:sz w:val="36"/>
                <w:szCs w:val="36"/>
              </w:rPr>
              <w:t>姓名</w:t>
            </w:r>
          </w:p>
        </w:tc>
        <w:tc>
          <w:tcPr>
            <w:tcW w:w="1843" w:type="dxa"/>
            <w:tcBorders>
              <w:top w:val="single" w:color="auto" w:sz="4" w:space="0"/>
              <w:left w:val="single" w:color="auto" w:sz="4" w:space="0"/>
              <w:bottom w:val="single" w:color="auto" w:sz="4" w:space="0"/>
              <w:right w:val="single" w:color="auto" w:sz="4" w:space="0"/>
            </w:tcBorders>
            <w:noWrap w:val="0"/>
            <w:vAlign w:val="top"/>
          </w:tcPr>
          <w:p w14:paraId="203DAEA1">
            <w:pPr>
              <w:spacing w:before="100" w:beforeAutospacing="1" w:after="100" w:afterAutospacing="1"/>
              <w:rPr>
                <w:rFonts w:hint="eastAsia" w:ascii="宋体" w:hAnsi="宋体" w:eastAsia="楷体_GB2312" w:cs="宋体"/>
                <w:sz w:val="28"/>
                <w:szCs w:val="28"/>
                <w:lang w:val="en-US" w:eastAsia="zh-CN"/>
              </w:rPr>
            </w:pPr>
            <w:r>
              <w:rPr>
                <w:rStyle w:val="133"/>
                <w:rFonts w:hint="eastAsia" w:ascii="楷体_GB2312" w:eastAsia="楷体_GB2312"/>
                <w:bCs w:val="0"/>
                <w:color w:val="000000"/>
                <w:spacing w:val="20"/>
                <w:sz w:val="28"/>
                <w:szCs w:val="28"/>
              </w:rPr>
              <w:t> </w:t>
            </w:r>
            <w:r>
              <w:rPr>
                <w:rStyle w:val="133"/>
                <w:rFonts w:hint="eastAsia" w:ascii="楷体_GB2312" w:eastAsia="楷体_GB2312"/>
                <w:bCs w:val="0"/>
                <w:color w:val="000000"/>
                <w:spacing w:val="20"/>
                <w:sz w:val="28"/>
                <w:szCs w:val="28"/>
                <w:lang w:val="en-US" w:eastAsia="zh-CN"/>
              </w:rPr>
              <w:t>何伟杰</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5B092ED1">
            <w:pPr>
              <w:spacing w:before="100" w:beforeAutospacing="1" w:after="100" w:afterAutospacing="1"/>
              <w:rPr>
                <w:rFonts w:ascii="宋体" w:hAnsi="宋体" w:cs="宋体"/>
                <w:sz w:val="24"/>
              </w:rPr>
            </w:pPr>
            <w:r>
              <w:rPr>
                <w:rStyle w:val="133"/>
                <w:rFonts w:hint="eastAsia" w:ascii="楷体_GB2312" w:eastAsia="楷体_GB2312"/>
                <w:bCs w:val="0"/>
                <w:color w:val="000000"/>
                <w:spacing w:val="22"/>
                <w:sz w:val="36"/>
                <w:szCs w:val="36"/>
              </w:rPr>
              <w:t>班级</w:t>
            </w:r>
          </w:p>
        </w:tc>
        <w:tc>
          <w:tcPr>
            <w:tcW w:w="1184" w:type="dxa"/>
            <w:tcBorders>
              <w:top w:val="single" w:color="auto" w:sz="4" w:space="0"/>
              <w:left w:val="single" w:color="auto" w:sz="4" w:space="0"/>
              <w:bottom w:val="single" w:color="auto" w:sz="4" w:space="0"/>
              <w:right w:val="single" w:color="auto" w:sz="4" w:space="0"/>
            </w:tcBorders>
            <w:noWrap w:val="0"/>
            <w:vAlign w:val="top"/>
          </w:tcPr>
          <w:p w14:paraId="1C66C795">
            <w:pPr>
              <w:spacing w:before="100" w:beforeAutospacing="1" w:after="100" w:afterAutospacing="1"/>
              <w:rPr>
                <w:rFonts w:hint="default" w:ascii="宋体" w:hAnsi="宋体" w:eastAsia="楷体_GB2312" w:cs="宋体"/>
                <w:sz w:val="24"/>
                <w:lang w:val="en-US" w:eastAsia="zh-CN"/>
              </w:rPr>
            </w:pPr>
            <w:r>
              <w:rPr>
                <w:rStyle w:val="133"/>
                <w:rFonts w:hint="eastAsia" w:ascii="楷体_GB2312" w:eastAsia="楷体_GB2312"/>
                <w:bCs w:val="0"/>
                <w:color w:val="000000"/>
                <w:spacing w:val="20"/>
                <w:sz w:val="36"/>
                <w:szCs w:val="36"/>
              </w:rPr>
              <w:t> </w:t>
            </w:r>
            <w:r>
              <w:rPr>
                <w:rStyle w:val="133"/>
                <w:rFonts w:hint="eastAsia" w:ascii="楷体_GB2312" w:eastAsia="楷体_GB2312"/>
                <w:bCs w:val="0"/>
                <w:color w:val="000000"/>
                <w:spacing w:val="20"/>
                <w:sz w:val="28"/>
                <w:szCs w:val="28"/>
                <w:lang w:val="en-US" w:eastAsia="zh-CN"/>
              </w:rPr>
              <w:t>商务2412</w:t>
            </w:r>
          </w:p>
        </w:tc>
      </w:tr>
      <w:tr w14:paraId="6AA6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auto" w:sz="4" w:space="0"/>
              <w:left w:val="single" w:color="auto" w:sz="4" w:space="0"/>
              <w:bottom w:val="single" w:color="auto" w:sz="4" w:space="0"/>
              <w:right w:val="single" w:color="auto" w:sz="4" w:space="0"/>
            </w:tcBorders>
            <w:noWrap w:val="0"/>
            <w:vAlign w:val="top"/>
          </w:tcPr>
          <w:p w14:paraId="2C6A4EBB">
            <w:pPr>
              <w:spacing w:before="100" w:beforeAutospacing="1" w:after="100" w:afterAutospacing="1"/>
              <w:jc w:val="center"/>
              <w:rPr>
                <w:rFonts w:ascii="宋体" w:hAnsi="宋体" w:cs="宋体"/>
                <w:sz w:val="24"/>
              </w:rPr>
            </w:pPr>
            <w:r>
              <w:rPr>
                <w:rStyle w:val="133"/>
                <w:rFonts w:hint="eastAsia" w:ascii="楷体_GB2312" w:eastAsia="楷体_GB2312"/>
                <w:bCs w:val="0"/>
                <w:color w:val="000000"/>
                <w:spacing w:val="20"/>
                <w:sz w:val="36"/>
                <w:szCs w:val="36"/>
              </w:rPr>
              <w:t>题目</w:t>
            </w:r>
          </w:p>
        </w:tc>
        <w:tc>
          <w:tcPr>
            <w:tcW w:w="7280" w:type="dxa"/>
            <w:gridSpan w:val="5"/>
            <w:tcBorders>
              <w:top w:val="single" w:color="auto" w:sz="4" w:space="0"/>
              <w:left w:val="single" w:color="auto" w:sz="4" w:space="0"/>
              <w:bottom w:val="single" w:color="auto" w:sz="4" w:space="0"/>
              <w:right w:val="single" w:color="auto" w:sz="4" w:space="0"/>
            </w:tcBorders>
            <w:noWrap w:val="0"/>
            <w:vAlign w:val="top"/>
          </w:tcPr>
          <w:p w14:paraId="576721E5">
            <w:pPr>
              <w:spacing w:before="0" w:after="0" w:line="240" w:lineRule="auto"/>
              <w:jc w:val="center"/>
            </w:pPr>
            <w:r>
              <w:rPr>
                <w:rFonts w:ascii="Times New Roman" w:hAnsi="Times New Roman" w:eastAsia="宋体"/>
                <w:b/>
                <w:sz w:val="32"/>
              </w:rPr>
              <w:t>BIM技术在复杂工程项目管理中的应用研究</w:t>
            </w:r>
          </w:p>
          <w:p w14:paraId="2A3A1614">
            <w:pPr>
              <w:spacing w:before="100" w:beforeAutospacing="1" w:after="100" w:afterAutospacing="1"/>
              <w:rPr>
                <w:rFonts w:ascii="宋体" w:hAnsi="宋体" w:cs="宋体"/>
                <w:sz w:val="24"/>
              </w:rPr>
            </w:pPr>
          </w:p>
        </w:tc>
      </w:tr>
      <w:tr w14:paraId="1AC4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Borders>
              <w:top w:val="single" w:color="auto" w:sz="4" w:space="0"/>
              <w:left w:val="single" w:color="auto" w:sz="4" w:space="0"/>
              <w:bottom w:val="single" w:color="auto" w:sz="4" w:space="0"/>
              <w:right w:val="single" w:color="auto" w:sz="4" w:space="0"/>
            </w:tcBorders>
            <w:noWrap w:val="0"/>
            <w:vAlign w:val="top"/>
          </w:tcPr>
          <w:p w14:paraId="0D977AA3">
            <w:pPr>
              <w:spacing w:before="100" w:beforeAutospacing="1" w:after="100" w:afterAutospacing="1"/>
            </w:pPr>
            <w:r>
              <w:rPr>
                <w:rStyle w:val="133"/>
                <w:rFonts w:hint="eastAsia" w:ascii="楷体_GB2312" w:eastAsia="楷体_GB2312"/>
                <w:bCs w:val="0"/>
                <w:spacing w:val="20"/>
                <w:sz w:val="36"/>
                <w:szCs w:val="36"/>
              </w:rPr>
              <w:t>写作要求：</w:t>
            </w:r>
          </w:p>
          <w:p w14:paraId="4B7E4F4E">
            <w:pPr>
              <w:spacing w:before="100" w:beforeAutospacing="1" w:after="100" w:afterAutospacing="1"/>
            </w:pPr>
            <w:r>
              <w:rPr>
                <w:rStyle w:val="133"/>
                <w:rFonts w:hint="eastAsia"/>
                <w:bCs w:val="0"/>
                <w:spacing w:val="20"/>
              </w:rPr>
              <w:t>主题：</w:t>
            </w:r>
            <w:r>
              <w:rPr>
                <w:rFonts w:hint="eastAsia"/>
                <w:spacing w:val="20"/>
              </w:rPr>
              <w:t>按选题要求选取适合的題目或自拟题撰写一篇文章。</w:t>
            </w:r>
          </w:p>
          <w:p w14:paraId="049704CD">
            <w:pPr>
              <w:spacing w:before="100" w:beforeAutospacing="1" w:after="100" w:afterAutospacing="1"/>
            </w:pPr>
            <w:r>
              <w:rPr>
                <w:rFonts w:hint="eastAsia"/>
                <w:spacing w:val="20"/>
              </w:rPr>
              <w:t>1、论文格式应符合基本学术规范。</w:t>
            </w:r>
          </w:p>
          <w:p w14:paraId="20049211">
            <w:pPr>
              <w:spacing w:before="100" w:beforeAutospacing="1" w:after="100" w:afterAutospacing="1"/>
            </w:pPr>
            <w:r>
              <w:rPr>
                <w:rFonts w:hint="eastAsia"/>
                <w:spacing w:val="20"/>
              </w:rPr>
              <w:t>2、字数应在35</w:t>
            </w:r>
            <w:r>
              <w:rPr>
                <w:rFonts w:hint="eastAsia"/>
              </w:rPr>
              <w:t>00字左右；（不得少于3000字）</w:t>
            </w:r>
          </w:p>
          <w:p w14:paraId="091AEBDE">
            <w:pPr>
              <w:spacing w:before="100" w:beforeAutospacing="1" w:after="100" w:afterAutospacing="1"/>
              <w:rPr>
                <w:rFonts w:ascii="宋体" w:hAnsi="宋体" w:cs="宋体"/>
                <w:sz w:val="24"/>
              </w:rPr>
            </w:pPr>
            <w:r>
              <w:rPr>
                <w:rFonts w:hint="eastAsia"/>
              </w:rPr>
              <w:t>3、不复抄袭、复制网络资源或其他学术论文。课堂派系统内查重复制比不得超过50%，提供的查重报告复制比不得超过40%。</w:t>
            </w:r>
          </w:p>
        </w:tc>
      </w:tr>
      <w:tr w14:paraId="1830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54" w:hRule="atLeast"/>
        </w:trPr>
        <w:tc>
          <w:tcPr>
            <w:tcW w:w="1242" w:type="dxa"/>
            <w:vMerge w:val="restart"/>
            <w:tcBorders>
              <w:top w:val="single" w:color="auto" w:sz="4" w:space="0"/>
              <w:left w:val="single" w:color="auto" w:sz="4" w:space="0"/>
              <w:bottom w:val="single" w:color="auto" w:sz="4" w:space="0"/>
              <w:right w:val="single" w:color="auto" w:sz="4" w:space="0"/>
            </w:tcBorders>
            <w:noWrap w:val="0"/>
            <w:textDirection w:val="tbRlV"/>
            <w:vAlign w:val="center"/>
          </w:tcPr>
          <w:p w14:paraId="39849AD8">
            <w:pPr>
              <w:ind w:left="113" w:right="113"/>
              <w:jc w:val="center"/>
              <w:rPr>
                <w:rFonts w:hint="eastAsia" w:ascii="楷体_GB2312" w:hAnsi="宋体" w:eastAsia="楷体_GB2312" w:cs="宋体"/>
                <w:b/>
                <w:sz w:val="28"/>
                <w:szCs w:val="28"/>
              </w:rPr>
            </w:pPr>
            <w:r>
              <w:rPr>
                <w:rFonts w:hint="eastAsia" w:ascii="楷体_GB2312" w:hAnsi="宋体" w:eastAsia="楷体_GB2312" w:cs="宋体"/>
                <w:b/>
                <w:sz w:val="28"/>
                <w:szCs w:val="28"/>
              </w:rPr>
              <w:t>评语</w:t>
            </w:r>
          </w:p>
        </w:tc>
        <w:tc>
          <w:tcPr>
            <w:tcW w:w="6096" w:type="dxa"/>
            <w:gridSpan w:val="4"/>
            <w:vMerge w:val="restart"/>
            <w:tcBorders>
              <w:top w:val="single" w:color="auto" w:sz="4" w:space="0"/>
              <w:left w:val="single" w:color="auto" w:sz="4" w:space="0"/>
              <w:bottom w:val="single" w:color="auto" w:sz="4" w:space="0"/>
              <w:right w:val="single" w:color="auto" w:sz="4" w:space="0"/>
            </w:tcBorders>
            <w:noWrap w:val="0"/>
            <w:vAlign w:val="top"/>
          </w:tcPr>
          <w:p w14:paraId="52AF1EE8">
            <w:pPr>
              <w:spacing w:before="100" w:beforeAutospacing="1" w:after="100" w:afterAutospacing="1"/>
              <w:rPr>
                <w:rStyle w:val="133"/>
                <w:rFonts w:hint="eastAsia" w:ascii="楷体_GB2312" w:eastAsia="楷体_GB2312"/>
                <w:bCs w:val="0"/>
                <w:spacing w:val="20"/>
                <w:sz w:val="36"/>
                <w:szCs w:val="36"/>
              </w:rPr>
            </w:pPr>
            <w:r>
              <w:rPr>
                <w:rStyle w:val="133"/>
                <w:rFonts w:hint="eastAsia" w:ascii="楷体_GB2312" w:eastAsia="楷体_GB2312"/>
                <w:bCs w:val="0"/>
                <w:spacing w:val="20"/>
                <w:sz w:val="36"/>
                <w:szCs w:val="36"/>
              </w:rPr>
              <w:t>  </w:t>
            </w:r>
          </w:p>
          <w:p w14:paraId="620E7513">
            <w:pPr>
              <w:spacing w:before="100" w:beforeAutospacing="1" w:after="100" w:afterAutospacing="1"/>
              <w:rPr>
                <w:rFonts w:ascii="宋体" w:hAnsi="宋体" w:cs="宋体"/>
                <w:sz w:val="24"/>
              </w:rPr>
            </w:pPr>
          </w:p>
        </w:tc>
        <w:tc>
          <w:tcPr>
            <w:tcW w:w="1184" w:type="dxa"/>
            <w:tcBorders>
              <w:top w:val="single" w:color="auto" w:sz="4" w:space="0"/>
              <w:left w:val="single" w:color="auto" w:sz="4" w:space="0"/>
              <w:bottom w:val="single" w:color="auto" w:sz="4" w:space="0"/>
              <w:right w:val="single" w:color="auto" w:sz="4" w:space="0"/>
            </w:tcBorders>
            <w:noWrap w:val="0"/>
            <w:vAlign w:val="center"/>
          </w:tcPr>
          <w:p w14:paraId="3CB060D2">
            <w:pPr>
              <w:spacing w:before="100" w:beforeAutospacing="1" w:after="100" w:afterAutospacing="1"/>
              <w:jc w:val="center"/>
            </w:pPr>
            <w:r>
              <w:rPr>
                <w:rStyle w:val="133"/>
                <w:rFonts w:hint="eastAsia" w:ascii="楷体_GB2312" w:eastAsia="楷体_GB2312"/>
                <w:bCs w:val="0"/>
                <w:spacing w:val="20"/>
                <w:sz w:val="36"/>
                <w:szCs w:val="36"/>
              </w:rPr>
              <w:t>最终</w:t>
            </w:r>
          </w:p>
          <w:p w14:paraId="62D10F49">
            <w:pPr>
              <w:spacing w:before="100" w:beforeAutospacing="1" w:after="100" w:afterAutospacing="1"/>
              <w:jc w:val="center"/>
              <w:rPr>
                <w:rFonts w:ascii="宋体" w:hAnsi="宋体" w:cs="宋体"/>
                <w:sz w:val="24"/>
              </w:rPr>
            </w:pPr>
            <w:r>
              <w:rPr>
                <w:rStyle w:val="133"/>
                <w:rFonts w:hint="eastAsia" w:ascii="楷体_GB2312" w:eastAsia="楷体_GB2312"/>
                <w:bCs w:val="0"/>
                <w:spacing w:val="20"/>
                <w:sz w:val="36"/>
                <w:szCs w:val="36"/>
              </w:rPr>
              <w:t>成绩</w:t>
            </w:r>
          </w:p>
        </w:tc>
      </w:tr>
      <w:tr w14:paraId="3796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75" w:hRule="atLeast"/>
        </w:trPr>
        <w:tc>
          <w:tcPr>
            <w:tcW w:w="0" w:type="auto"/>
            <w:vMerge w:val="continue"/>
            <w:tcBorders>
              <w:top w:val="single" w:color="auto" w:sz="4" w:space="0"/>
              <w:left w:val="single" w:color="auto" w:sz="4" w:space="0"/>
              <w:bottom w:val="single" w:color="auto" w:sz="4" w:space="0"/>
              <w:right w:val="single" w:color="auto" w:sz="4" w:space="0"/>
            </w:tcBorders>
            <w:noWrap w:val="0"/>
            <w:vAlign w:val="center"/>
          </w:tcPr>
          <w:p w14:paraId="1F7E19BE">
            <w:pPr>
              <w:rPr>
                <w:rFonts w:ascii="宋体" w:hAnsi="宋体" w:cs="宋体"/>
                <w:sz w:val="24"/>
              </w:rPr>
            </w:pPr>
          </w:p>
        </w:tc>
        <w:tc>
          <w:tcPr>
            <w:tcW w:w="6096" w:type="dxa"/>
            <w:gridSpan w:val="4"/>
            <w:vMerge w:val="continue"/>
            <w:tcBorders>
              <w:top w:val="single" w:color="auto" w:sz="4" w:space="0"/>
              <w:left w:val="single" w:color="auto" w:sz="4" w:space="0"/>
              <w:bottom w:val="single" w:color="auto" w:sz="4" w:space="0"/>
              <w:right w:val="single" w:color="auto" w:sz="4" w:space="0"/>
            </w:tcBorders>
            <w:noWrap w:val="0"/>
            <w:vAlign w:val="center"/>
          </w:tcPr>
          <w:p w14:paraId="4F5FDBAC">
            <w:pPr>
              <w:rPr>
                <w:rFonts w:ascii="宋体" w:hAnsi="宋体" w:cs="宋体"/>
                <w:sz w:val="24"/>
              </w:rPr>
            </w:pPr>
          </w:p>
        </w:tc>
        <w:tc>
          <w:tcPr>
            <w:tcW w:w="1184" w:type="dxa"/>
            <w:tcBorders>
              <w:top w:val="single" w:color="auto" w:sz="4" w:space="0"/>
              <w:left w:val="single" w:color="auto" w:sz="4" w:space="0"/>
              <w:bottom w:val="single" w:color="auto" w:sz="4" w:space="0"/>
              <w:right w:val="single" w:color="auto" w:sz="4" w:space="0"/>
            </w:tcBorders>
            <w:noWrap w:val="0"/>
            <w:vAlign w:val="top"/>
          </w:tcPr>
          <w:p w14:paraId="4A5FE9E5">
            <w:pPr>
              <w:spacing w:before="100" w:beforeAutospacing="1" w:after="100" w:afterAutospacing="1"/>
              <w:rPr>
                <w:rFonts w:ascii="宋体" w:hAnsi="宋体" w:cs="宋体"/>
                <w:sz w:val="24"/>
              </w:rPr>
            </w:pPr>
          </w:p>
        </w:tc>
      </w:tr>
    </w:tbl>
    <w:p w14:paraId="52BDA115">
      <w:pPr>
        <w:spacing w:before="100" w:beforeAutospacing="1" w:after="100" w:afterAutospacing="1"/>
      </w:pPr>
      <w:r>
        <w:t> </w:t>
      </w:r>
    </w:p>
    <w:p w14:paraId="73E4EB0E">
      <w:pPr>
        <w:spacing w:before="100" w:beforeAutospacing="1" w:after="100" w:afterAutospacing="1"/>
        <w:ind w:firstLine="107" w:firstLineChars="49"/>
        <w:jc w:val="center"/>
        <w:rPr>
          <w:rFonts w:hint="eastAsia"/>
          <w:szCs w:val="21"/>
        </w:rPr>
      </w:pPr>
      <w:r>
        <w:t>202</w:t>
      </w:r>
      <w:r>
        <w:rPr>
          <w:rFonts w:hint="eastAsia"/>
        </w:rPr>
        <w:t>6年6</w:t>
      </w:r>
      <w:r>
        <w:t xml:space="preserve"> </w:t>
      </w:r>
      <w:r>
        <w:rPr>
          <w:rFonts w:hint="eastAsia"/>
        </w:rPr>
        <w:t>月</w:t>
      </w:r>
      <w:r>
        <w:t xml:space="preserve"> </w:t>
      </w:r>
      <w:r>
        <w:rPr>
          <w:rFonts w:hint="eastAsia"/>
        </w:rPr>
        <w:t>30</w:t>
      </w:r>
      <w:r>
        <w:t xml:space="preserve"> </w:t>
      </w:r>
      <w:r>
        <w:rPr>
          <w:rFonts w:hint="eastAsia"/>
        </w:rPr>
        <w:t>日</w:t>
      </w:r>
      <w:r>
        <w:t> </w:t>
      </w:r>
    </w:p>
    <w:p w14:paraId="5FD08B48">
      <w:pPr>
        <w:spacing w:before="0" w:after="0" w:line="240" w:lineRule="auto"/>
        <w:jc w:val="center"/>
        <w:rPr>
          <w:rFonts w:ascii="Times New Roman" w:hAnsi="Times New Roman" w:eastAsia="宋体"/>
          <w:b/>
          <w:sz w:val="32"/>
        </w:rPr>
        <w:sectPr>
          <w:pgSz w:w="12240" w:h="15840"/>
          <w:pgMar w:top="1440" w:right="1803" w:bottom="1440" w:left="1803" w:header="720" w:footer="720" w:gutter="0"/>
          <w:cols w:space="720" w:num="1"/>
          <w:docGrid w:linePitch="360" w:charSpace="0"/>
        </w:sectPr>
      </w:pPr>
    </w:p>
    <w:p w14:paraId="6899AC79">
      <w:pPr>
        <w:spacing w:before="0" w:after="0" w:line="240" w:lineRule="auto"/>
        <w:jc w:val="center"/>
      </w:pPr>
      <w:r>
        <w:rPr>
          <w:rFonts w:ascii="Times New Roman" w:hAnsi="Times New Roman" w:eastAsia="宋体"/>
          <w:b/>
          <w:sz w:val="32"/>
        </w:rPr>
        <w:t>BIM技术在复杂工程项目管理中的应用研究</w:t>
      </w:r>
    </w:p>
    <w:p w14:paraId="55CE4C78">
      <w:pPr>
        <w:spacing w:before="0" w:after="0" w:line="240" w:lineRule="auto"/>
      </w:pPr>
      <w:r>
        <w:rPr>
          <w:rFonts w:ascii="Times New Roman" w:hAnsi="Times New Roman" w:eastAsia="宋体"/>
          <w:b/>
          <w:sz w:val="28"/>
        </w:rPr>
        <w:t>摘要</w:t>
      </w:r>
    </w:p>
    <w:p w14:paraId="0C3E3AAA">
      <w:pPr>
        <w:spacing w:before="0" w:after="0" w:line="240" w:lineRule="auto"/>
        <w:ind w:firstLine="420"/>
      </w:pPr>
      <w:r>
        <w:rPr>
          <w:rFonts w:ascii="Times New Roman" w:hAnsi="Times New Roman" w:eastAsia="宋体"/>
          <w:b w:val="0"/>
          <w:sz w:val="21"/>
        </w:rPr>
        <w:t>目的：探究BIM技术在复杂工程项目管理中的实践状况、核心价值及面临障碍，以期推动复杂工程管理效能的整体跃升。方法：采用文献回顾法对近五年BIM技术与复杂工程管理的交叉研究成果加以系统梳理，同时辅以典型案例剖析，归纳BIM在设计协同、施工管控、造价优化及运维管理等环节的具体应用路径。结果：相关研究表明，BIM技术可大幅强化多专业间的协同能力，有效压缩施工冲突引发的返工成本，并促使资源配置更趋合理；不过，数据互通标准缺位、复合型人才供给不足以及既有管理模式转型乏力等难题仍未得到根本化解。结论：BIM技术在复杂工程管理中的落地前景值得期待，后续应重点推进其与人工智能、物联网等前沿技术的系统性融合，搭建覆盖工程全生命周期的协同管理架构，并同步健全技术规范体系与专业人才培养链路。</w:t>
      </w:r>
    </w:p>
    <w:p w14:paraId="4B8B382C">
      <w:pPr>
        <w:spacing w:before="0" w:after="0" w:line="240" w:lineRule="auto"/>
        <w:ind w:firstLine="420"/>
      </w:pPr>
      <w:r>
        <w:rPr>
          <w:rFonts w:ascii="Times New Roman" w:hAnsi="Times New Roman" w:eastAsia="宋体"/>
          <w:b w:val="0"/>
          <w:sz w:val="21"/>
        </w:rPr>
        <w:t>关键词：BIM技术；复杂工程；项目管理；协同管理；全生命周期</w:t>
      </w:r>
    </w:p>
    <w:p w14:paraId="7FC66D31">
      <w:pPr>
        <w:spacing w:before="0" w:after="0" w:line="240" w:lineRule="auto"/>
      </w:pPr>
      <w:r>
        <w:rPr>
          <w:rFonts w:ascii="Times New Roman" w:hAnsi="Times New Roman" w:eastAsia="宋体"/>
          <w:b/>
          <w:sz w:val="28"/>
        </w:rPr>
        <w:t>1 引言</w:t>
      </w:r>
    </w:p>
    <w:p w14:paraId="7D3E8C25">
      <w:pPr>
        <w:spacing w:before="0" w:after="0" w:line="240" w:lineRule="auto"/>
      </w:pPr>
      <w:r>
        <w:rPr>
          <w:rFonts w:ascii="Times New Roman" w:hAnsi="Times New Roman" w:eastAsia="宋体"/>
          <w:b/>
          <w:sz w:val="24"/>
        </w:rPr>
        <w:t>1.1 研究背景</w:t>
      </w:r>
    </w:p>
    <w:p w14:paraId="407BA93B">
      <w:pPr>
        <w:spacing w:before="0" w:after="0" w:line="240" w:lineRule="auto"/>
        <w:ind w:firstLine="420"/>
      </w:pPr>
      <w:r>
        <w:rPr>
          <w:rFonts w:ascii="Times New Roman" w:hAnsi="Times New Roman" w:eastAsia="宋体"/>
          <w:b w:val="0"/>
          <w:sz w:val="21"/>
        </w:rPr>
        <w:t>我国城镇化步伐逐年加快，超大规模、多功能集成的复杂工程项目无论在数量还是体量上都呈持续攀升之势。此类项目往往牵涉上百家参建单位，专业技术接口交错重叠，施工周期横跨数年甚至十余年，外部政策与环境的不确定性更是贯穿始终。面对这些高度盘结的复杂特征，以纸质图纸流转和逐级汇报为支柱的传统管理模式已暴露出一系列难以克服的短板。有行业调查数据显示，大型工程中纯粹因信息传递失真或滞后所酿成的返工开支，大约占到总建造成本的5%到15%；而源自设计专业间碰撞且未能提前甄别的工期延误，更是贡献了项目总延期时长的三成以上。</w:t>
      </w:r>
    </w:p>
    <w:p w14:paraId="3D6F6D02">
      <w:pPr>
        <w:spacing w:before="0" w:after="0" w:line="240" w:lineRule="auto"/>
        <w:ind w:firstLine="420"/>
      </w:pPr>
      <w:r>
        <w:rPr>
          <w:rFonts w:ascii="Times New Roman" w:hAnsi="Times New Roman" w:eastAsia="宋体"/>
          <w:b w:val="0"/>
          <w:sz w:val="21"/>
        </w:rPr>
        <w:t>建筑信息模型（Building Information Modeling，BIM）正是在这一困境下应运而生的数字化变革力量。其技术内核在于利用三维数字模型将建筑物的几何形态、材料属性、设备参数乃至运维需求等全部物理与功能信息加以结构化集成，从而使设计、施工和运维环节之间的信息壁垒被逐层打破，数据的无缝流转成为可能。正因如此，BIM被业界视为破解复杂工程管理"信息孤岛"困局的关键钥匙。</w:t>
      </w:r>
    </w:p>
    <w:p w14:paraId="6675C617">
      <w:pPr>
        <w:spacing w:before="0" w:after="0" w:line="240" w:lineRule="auto"/>
      </w:pPr>
      <w:r>
        <w:rPr>
          <w:rFonts w:ascii="Times New Roman" w:hAnsi="Times New Roman" w:eastAsia="宋体"/>
          <w:b/>
          <w:sz w:val="24"/>
        </w:rPr>
        <w:t>1.2 研究意义</w:t>
      </w:r>
    </w:p>
    <w:p w14:paraId="35AD1091">
      <w:pPr>
        <w:spacing w:before="0" w:after="0" w:line="240" w:lineRule="auto"/>
        <w:ind w:firstLine="420"/>
      </w:pPr>
      <w:r>
        <w:rPr>
          <w:rFonts w:ascii="Times New Roman" w:hAnsi="Times New Roman" w:eastAsia="宋体"/>
          <w:b w:val="0"/>
          <w:sz w:val="21"/>
        </w:rPr>
        <w:t>就理论层面而言，对BIM技术在复杂工程管理领域的已有研究成果进行体系化梳理，有助于辨明BIM方法论与经典项目管理理论之间的交融节点，推动数字化工程管理理论框架的持续充实。落脚到实践维度，围绕真实复杂工程案例中BIM的应用效能与落地阻力进行深度剖析，能够为同类项目在BIM选型、部署与迭代优化等关键决策环节，输出经过验证的经验参照与可操作的方法指引。</w:t>
      </w:r>
    </w:p>
    <w:p w14:paraId="359ED12B">
      <w:pPr>
        <w:spacing w:before="0" w:after="0" w:line="240" w:lineRule="auto"/>
      </w:pPr>
      <w:r>
        <w:rPr>
          <w:rFonts w:ascii="Times New Roman" w:hAnsi="Times New Roman" w:eastAsia="宋体"/>
          <w:b/>
          <w:sz w:val="24"/>
        </w:rPr>
        <w:t>1.3 研究问题</w:t>
      </w:r>
    </w:p>
    <w:p w14:paraId="6580DA1A">
      <w:pPr>
        <w:spacing w:before="0" w:after="0" w:line="240" w:lineRule="auto"/>
        <w:ind w:firstLine="420"/>
      </w:pPr>
      <w:r>
        <w:rPr>
          <w:rFonts w:ascii="Times New Roman" w:hAnsi="Times New Roman" w:eastAsia="宋体"/>
          <w:b w:val="0"/>
          <w:sz w:val="21"/>
        </w:rPr>
        <w:t>本文试图回答三个相互关联的核心问题。其一，BIM技术在复杂工程项目管理中已经渗透到哪些关键应用领域？其二，这项技术究竟在多大程度上、以何种机制贡献于管理效能的实质性提升？其三，当前制约BIM在复杂工程场景下深度推广的瓶颈因素有哪些，又该如何制定有针对性的突破策略？</w:t>
      </w:r>
    </w:p>
    <w:p w14:paraId="6116D95F">
      <w:pPr>
        <w:spacing w:before="0" w:after="0" w:line="240" w:lineRule="auto"/>
      </w:pPr>
      <w:r>
        <w:rPr>
          <w:rFonts w:ascii="Times New Roman" w:hAnsi="Times New Roman" w:eastAsia="宋体"/>
          <w:b/>
          <w:sz w:val="28"/>
        </w:rPr>
        <w:t>2 文献回顾</w:t>
      </w:r>
    </w:p>
    <w:p w14:paraId="6A551A18">
      <w:pPr>
        <w:spacing w:before="0" w:after="0" w:line="240" w:lineRule="auto"/>
      </w:pPr>
      <w:r>
        <w:rPr>
          <w:rFonts w:ascii="Times New Roman" w:hAnsi="Times New Roman" w:eastAsia="宋体"/>
          <w:b/>
          <w:sz w:val="24"/>
        </w:rPr>
        <w:t>2.1 BIM技术基础理论与应用框架</w:t>
      </w:r>
    </w:p>
    <w:p w14:paraId="7F6D7FB2">
      <w:pPr>
        <w:spacing w:before="0" w:after="0" w:line="240" w:lineRule="auto"/>
        <w:ind w:firstLine="420"/>
      </w:pPr>
      <w:r>
        <w:rPr>
          <w:rFonts w:ascii="Times New Roman" w:hAnsi="Times New Roman" w:eastAsia="宋体"/>
          <w:b w:val="0"/>
          <w:sz w:val="21"/>
        </w:rPr>
        <w:t>张伟等（2024）借助结构方程模型这一量化工具，对BIM技术在建设项目管理中的落地效果进行了实证检验，其分析结果指向一个明确的结论：BIM的应用深度与管理绩效之间并非简单的线性关联，信息共享的充分程度以及组织内部跨部门的协同意愿在二者之间发挥着桥梁式的传导作用[1]。这一定量发现为后续BIM效益评价体系的搭建提供了颇为扎实的方法论基础。</w:t>
      </w:r>
    </w:p>
    <w:p w14:paraId="1F156B24">
      <w:pPr>
        <w:spacing w:before="0" w:after="0" w:line="240" w:lineRule="auto"/>
        <w:ind w:firstLine="420"/>
      </w:pPr>
      <w:r>
        <w:rPr>
          <w:rFonts w:ascii="Times New Roman" w:hAnsi="Times New Roman" w:eastAsia="宋体"/>
          <w:b w:val="0"/>
          <w:sz w:val="21"/>
        </w:rPr>
        <w:t>在具体工程场景中，陈大路（2024）以台州医院新院区这一复杂医疗综合体为研究对象，详细阐述了BIM云端协同管理的实施路径。其核心做法是在公有云上部署统一的BIM协作平台，让建筑、结构、机电、医疗气体等十几个专业的设计团队在同一数字空间中实时交底与校核，实践结果表明，多专业间的设计协调周期因此压缩了超过三分之一[2]。</w:t>
      </w:r>
    </w:p>
    <w:p w14:paraId="21352DB7">
      <w:pPr>
        <w:spacing w:before="0" w:after="0" w:line="240" w:lineRule="auto"/>
      </w:pPr>
      <w:r>
        <w:rPr>
          <w:rFonts w:ascii="Times New Roman" w:hAnsi="Times New Roman" w:eastAsia="宋体"/>
          <w:b/>
          <w:sz w:val="24"/>
        </w:rPr>
        <w:t>2.2 BIM在施工管理中的应用</w:t>
      </w:r>
    </w:p>
    <w:p w14:paraId="747F995B">
      <w:pPr>
        <w:spacing w:before="0" w:after="0" w:line="240" w:lineRule="auto"/>
        <w:ind w:firstLine="420"/>
      </w:pPr>
      <w:r>
        <w:rPr>
          <w:rFonts w:ascii="Times New Roman" w:hAnsi="Times New Roman" w:eastAsia="宋体"/>
          <w:b w:val="0"/>
          <w:sz w:val="21"/>
        </w:rPr>
        <w:t>工程项目的施工阶段是BIM技术最能直观展示其"碰撞检测"优势的环节。刘明等（2023）在跟踪某综合体育馆建设全程后发现，借助BIM施工模拟，项目团队在进场前即精准定位了127处管线与结构构件的硬碰撞，这些问题若留到现场开挖后再处理，将引发大量签证变更和窝工损失——而提前介入的做法使现场设计变更频次骤降六成以上[3]。该案例充分说明，BIM之于施工管理，远不止是可视化工具那么简单，它已经实质性地改变了施工组织设计的事前控制逻辑。</w:t>
      </w:r>
    </w:p>
    <w:p w14:paraId="3854BA09">
      <w:pPr>
        <w:spacing w:before="0" w:after="0" w:line="240" w:lineRule="auto"/>
        <w:ind w:firstLine="420"/>
      </w:pPr>
      <w:r>
        <w:rPr>
          <w:rFonts w:ascii="Times New Roman" w:hAnsi="Times New Roman" w:eastAsia="宋体"/>
          <w:b w:val="0"/>
          <w:sz w:val="21"/>
        </w:rPr>
        <w:t>赵华（2023）则跳出了"技术工具论"的惯常叙事框架，转而从管理模式创新的高度审视BIM的定位。其提出的"BIM+PM"集成管理范</w:t>
      </w:r>
      <w:r>
        <w:rPr>
          <w:rFonts w:hint="eastAsia" w:ascii="宋体" w:hAnsi="宋体" w:eastAsia="宋体" w:cs="宋体"/>
          <w:b w:val="0"/>
          <w:sz w:val="21"/>
        </w:rPr>
        <w:t>式强调，BIM模型不应仅被视作三维图纸的替代品，而必须被确立为贯穿项目全过程的中央信息底座</w:t>
      </w:r>
      <w:r>
        <w:rPr>
          <w:rFonts w:ascii="Times New Roman" w:hAnsi="Times New Roman" w:eastAsia="宋体"/>
          <w:b w:val="0"/>
          <w:sz w:val="21"/>
        </w:rPr>
        <w:t>，所有进度编排、成本核算、质量验评乃至合同管理活动均需围绕这一底座展开[4]。</w:t>
      </w:r>
    </w:p>
    <w:p w14:paraId="0F04AF1B">
      <w:pPr>
        <w:spacing w:before="0" w:after="0" w:line="240" w:lineRule="auto"/>
      </w:pPr>
      <w:r>
        <w:rPr>
          <w:rFonts w:ascii="Times New Roman" w:hAnsi="Times New Roman" w:eastAsia="宋体"/>
          <w:b/>
          <w:sz w:val="24"/>
        </w:rPr>
        <w:t>2.3 BIM应用的效益评价</w:t>
      </w:r>
      <w:bookmarkStart w:id="0" w:name="_GoBack"/>
      <w:bookmarkEnd w:id="0"/>
    </w:p>
    <w:p w14:paraId="39B6A419">
      <w:pPr>
        <w:spacing w:before="0" w:after="0" w:line="240" w:lineRule="auto"/>
        <w:ind w:firstLine="420"/>
      </w:pPr>
      <w:r>
        <w:rPr>
          <w:rFonts w:ascii="Times New Roman" w:hAnsi="Times New Roman" w:eastAsia="宋体"/>
          <w:b w:val="0"/>
          <w:sz w:val="21"/>
        </w:rPr>
        <w:t>BIM技术究竟能否带来可量化的经济回报，一直是业主方关注的焦点。周建华等（2023）尝试从业主视角出发，设计了一套涵盖质量、进度、成本和安全四个评价维度的BIM效益量化指标体系，并选取10个大型建筑工程进行实证标定，验证了指标框架的科学性[5]。该研究揭示出一个耐人寻味的现象：BIM的降本增效效应并非均匀分布，其在压缩设计变更支出和缩短关键路径工期这两个维度的贡献最为突出，而在安全效益维度则相对间接。</w:t>
      </w:r>
    </w:p>
    <w:p w14:paraId="438EB089">
      <w:pPr>
        <w:spacing w:before="0" w:after="0" w:line="240" w:lineRule="auto"/>
      </w:pPr>
      <w:r>
        <w:rPr>
          <w:rFonts w:ascii="Times New Roman" w:hAnsi="Times New Roman" w:eastAsia="宋体"/>
          <w:b/>
          <w:sz w:val="24"/>
        </w:rPr>
        <w:t>2.4 BIM协同管理研究</w:t>
      </w:r>
    </w:p>
    <w:p w14:paraId="7C5CA686">
      <w:pPr>
        <w:spacing w:before="0" w:after="0" w:line="240" w:lineRule="auto"/>
        <w:ind w:firstLine="420"/>
      </w:pPr>
      <w:r>
        <w:rPr>
          <w:rFonts w:ascii="Times New Roman" w:hAnsi="Times New Roman" w:eastAsia="宋体"/>
          <w:b w:val="0"/>
          <w:sz w:val="21"/>
        </w:rPr>
        <w:t>王磊（2024）将研究视角聚焦在土木工程施工过程的协同管理上，主张以BIM模型为核心节点，编织一张连接业主、设计方、施工总包和监理单位的多方协同网络。其方案的关键在于制定各方共同遵循的数据交换规范与协同工作程序，确保BIM模型在流转过程中的版本一致性和信息保真度[6]。这一思路对于参与主体数量庞大、信息交互频次极高的复杂工程，具有直接的现实参考意义。</w:t>
      </w:r>
    </w:p>
    <w:p w14:paraId="6E4D556A">
      <w:pPr>
        <w:spacing w:before="0" w:after="0" w:line="240" w:lineRule="auto"/>
      </w:pPr>
      <w:r>
        <w:rPr>
          <w:rFonts w:ascii="Times New Roman" w:hAnsi="Times New Roman" w:eastAsia="宋体"/>
          <w:b/>
          <w:sz w:val="24"/>
        </w:rPr>
        <w:t>2.5 国际研究前沿</w:t>
      </w:r>
    </w:p>
    <w:p w14:paraId="1E51CFA5">
      <w:pPr>
        <w:spacing w:before="0" w:after="0" w:line="240" w:lineRule="auto"/>
        <w:ind w:firstLine="420"/>
      </w:pPr>
      <w:r>
        <w:rPr>
          <w:rFonts w:ascii="Times New Roman" w:hAnsi="Times New Roman" w:eastAsia="宋体"/>
          <w:b w:val="0"/>
          <w:sz w:val="21"/>
        </w:rPr>
        <w:t>国际学术界近年对BIM的关注点已从单纯的"技术采纳"转向更深层的"复杂性治理"议题。Li等（2025）基于292份来自中国大型项目的有效问卷，运用PLS-SEM方法进行了严谨的实证检验，结果表明BIM的实施可以在相当程度上消减大型项目的技术复杂性、目标复杂性、信息复杂性、组织复杂性和环境复杂性——这五类复杂性中，信息与目标两个维度的变化在BIM与管理绩效之间充当了显著的中介变量[7]。这一发现从理论上解释了BIM为何能够在复杂工程场景中释放出超越一般信息化工具的管理价值。</w:t>
      </w:r>
    </w:p>
    <w:p w14:paraId="7DA6EB2E">
      <w:pPr>
        <w:spacing w:before="0" w:after="0" w:line="240" w:lineRule="auto"/>
        <w:ind w:firstLine="420"/>
      </w:pPr>
      <w:r>
        <w:rPr>
          <w:rFonts w:ascii="Times New Roman" w:hAnsi="Times New Roman" w:eastAsia="宋体"/>
          <w:b w:val="0"/>
          <w:sz w:val="21"/>
        </w:rPr>
        <w:t>Zhang等（2025）则将前沿的图神经网络（GNN）技术与BIM数据相结合，提出了一套面向施工调度优化的空间语义推理框架。其技术路线是先利用BIM模型构建反映构件空间位置与施工逻辑的三维拓扑语义图，再通过增强型GraphSAGE模型自动学习工序间的依赖关系，最终生成优化的施工排程方案。在对比实验中，该方案将资源利用率从约68%拉升至接近88%，同时异常施工事件的发生频率锐减77.8%[8]。这一技术路线为BIM从"信息载体"向"智能决策引擎"的演进提供了令人信服的技术蓝图。</w:t>
      </w:r>
    </w:p>
    <w:p w14:paraId="7368AE8E">
      <w:pPr>
        <w:spacing w:before="0" w:after="0" w:line="240" w:lineRule="auto"/>
      </w:pPr>
      <w:r>
        <w:rPr>
          <w:rFonts w:ascii="Times New Roman" w:hAnsi="Times New Roman" w:eastAsia="宋体"/>
          <w:b/>
          <w:sz w:val="24"/>
        </w:rPr>
        <w:t>2.6 研究述评</w:t>
      </w:r>
    </w:p>
    <w:p w14:paraId="1DC39CA4">
      <w:pPr>
        <w:spacing w:before="0" w:after="0" w:line="240" w:lineRule="auto"/>
        <w:ind w:firstLine="420"/>
      </w:pPr>
      <w:r>
        <w:rPr>
          <w:rFonts w:ascii="Times New Roman" w:hAnsi="Times New Roman" w:eastAsia="宋体"/>
          <w:b w:val="0"/>
          <w:sz w:val="21"/>
        </w:rPr>
        <w:t>综观上述研究成果，学术界在BIM效益评估、技术融合路径及管理范式创新等方向上已经积累了可观的学术产出。但细究之下仍可辨识出三处较为明显的薄弱地带：首先，多数研究将BIM在单一阶段（如设计或施工）的应用作为观测窗口，真正覆盖从规划、设计、施工到运维全生命周期的系统性追踪尚不多见；其次，BIM与AI、物联网等新兴技术深度融合的实证研究仍处于零星探索阶段，缺乏来自大规模工程现场的扎实数据支撑；再者，既有文献在诊断BIM推广障碍时，多停留在"问题-对策"的枚举层面，欠缺对障碍因素间因果传导机制的深层剖析。</w:t>
      </w:r>
    </w:p>
    <w:p w14:paraId="0493E418">
      <w:pPr>
        <w:spacing w:before="0" w:after="0" w:line="240" w:lineRule="auto"/>
      </w:pPr>
      <w:r>
        <w:rPr>
          <w:rFonts w:ascii="Times New Roman" w:hAnsi="Times New Roman" w:eastAsia="宋体"/>
          <w:b/>
          <w:sz w:val="28"/>
        </w:rPr>
        <w:t>3 现状分析</w:t>
      </w:r>
    </w:p>
    <w:p w14:paraId="7E76D6C0">
      <w:pPr>
        <w:spacing w:before="0" w:after="0" w:line="240" w:lineRule="auto"/>
      </w:pPr>
      <w:r>
        <w:rPr>
          <w:rFonts w:ascii="Times New Roman" w:hAnsi="Times New Roman" w:eastAsia="宋体"/>
          <w:b/>
          <w:sz w:val="24"/>
        </w:rPr>
        <w:t>3.1 BIM技术在复杂工程中的应用现状</w:t>
      </w:r>
    </w:p>
    <w:p w14:paraId="04209735">
      <w:pPr>
        <w:spacing w:before="0" w:after="0" w:line="240" w:lineRule="auto"/>
        <w:ind w:firstLine="420"/>
      </w:pPr>
      <w:r>
        <w:rPr>
          <w:rFonts w:ascii="Times New Roman" w:hAnsi="Times New Roman" w:eastAsia="宋体"/>
          <w:b w:val="0"/>
          <w:sz w:val="21"/>
        </w:rPr>
        <w:t>放眼国内，BIM技术在复杂工程项目管理领域已基本告别了小范围试点阶段，正在向规模化、常态化的方向加速迈进。在设计环节，三维协同设计与碰撞检测几乎成为大型复杂工程的"出厂配置"，其应用成熟度在各阶段中处于领先位置。进入施工环节，BIM的主战场则集中在施工过程模拟、进度计划可视化以及工程量精确提取等方面，部分领跑项目更进一步，开始尝试将BIM与智慧工地传感网络、物联网数据采集终端进行集成联动。相较之下，运维环节的BIM应用虽然起步稍晚，但在大型公共建筑群和跨区域基础设施等复杂工程类型中，基于BIM的运维管理系统建设正逐步从概念验证走向实际部署。</w:t>
      </w:r>
    </w:p>
    <w:p w14:paraId="29BE7825">
      <w:pPr>
        <w:spacing w:before="0" w:after="0" w:line="240" w:lineRule="auto"/>
      </w:pPr>
      <w:r>
        <w:rPr>
          <w:rFonts w:ascii="Times New Roman" w:hAnsi="Times New Roman" w:eastAsia="宋体"/>
          <w:b/>
          <w:sz w:val="24"/>
        </w:rPr>
        <w:t>3.2 典型应用案例分析</w:t>
      </w:r>
    </w:p>
    <w:p w14:paraId="7D4E0149">
      <w:pPr>
        <w:spacing w:before="0" w:after="0" w:line="240" w:lineRule="auto"/>
        <w:ind w:firstLine="420"/>
      </w:pPr>
      <w:r>
        <w:rPr>
          <w:rFonts w:ascii="Times New Roman" w:hAnsi="Times New Roman" w:eastAsia="宋体"/>
          <w:b w:val="0"/>
          <w:sz w:val="21"/>
        </w:rPr>
        <w:t>上海中心大厦的BIM实践常被援引为复杂超高层建筑数字化转型的里程碑案例。在设计阶段，项目汇集了国内外数十家设计顾问机构，各方通过BIM模型在统一平台上完成了逾2000轮次的碰撞检测，绝大部分专业间的空间冲突在设计图纸固化前即被识别并消解，这使得后续施工过程中的"边干边改"现象大幅收敛。施工阶段，项目团队在3D模型之上叠加时间维度形成4D施工进度模拟，进而再嵌入成本数据构建5D管控视图，使原本抽象的进度偏差和成本波动得以以直观的图形化语言呈现在决策者面前。这一全链条的BIM实践有力地印证了一个判断：对于超大体量、超高技术密度的复杂工程而言，BIM绝非可有可无的锦上添花，而是保障项目可控性的必要技术基座。</w:t>
      </w:r>
    </w:p>
    <w:p w14:paraId="41723ADD">
      <w:pPr>
        <w:spacing w:before="0" w:after="0" w:line="240" w:lineRule="auto"/>
      </w:pPr>
      <w:r>
        <w:rPr>
          <w:rFonts w:ascii="Times New Roman" w:hAnsi="Times New Roman" w:eastAsia="宋体"/>
          <w:b/>
          <w:sz w:val="24"/>
        </w:rPr>
        <w:t>3.3 国内外应用对比</w:t>
      </w:r>
    </w:p>
    <w:p w14:paraId="6050C4D0">
      <w:pPr>
        <w:spacing w:before="0" w:after="0" w:line="240" w:lineRule="auto"/>
        <w:ind w:firstLine="420"/>
      </w:pPr>
      <w:r>
        <w:rPr>
          <w:rFonts w:ascii="Times New Roman" w:hAnsi="Times New Roman" w:eastAsia="宋体"/>
          <w:b w:val="0"/>
          <w:sz w:val="21"/>
        </w:rPr>
        <w:t>将目光投向国际，英国、美国和新加坡等发达国家在BIM政策推动方面走得更远，已将BIM应用纳入政府投资项目的强制性条款。其BIM实践也已从早期以3D可视化为主体的初级阶段，扩展至融合成本管理（5D）、可持续性分析（6D）乃至设施全周期运维（7D）的多维纵深地带。反观国内，尽管头部企业和标杆项目的BIM应用深度已经不逊于国际先进水平，但行业内企业间的应用水平落差仍然较大，中小企业BIM采纳率偏低的格局并未得到根本性扭转，这表明我国BIM应用的整体成熟度仍处于追赶爬坡的关键时期。</w:t>
      </w:r>
    </w:p>
    <w:p w14:paraId="7C9F5E25">
      <w:pPr>
        <w:spacing w:before="0" w:after="0" w:line="240" w:lineRule="auto"/>
      </w:pPr>
      <w:r>
        <w:rPr>
          <w:rFonts w:ascii="Times New Roman" w:hAnsi="Times New Roman" w:eastAsia="宋体"/>
          <w:b/>
          <w:sz w:val="28"/>
        </w:rPr>
        <w:t>4 存在问题和对策</w:t>
      </w:r>
    </w:p>
    <w:p w14:paraId="0ADDC51A">
      <w:pPr>
        <w:spacing w:before="0" w:after="0" w:line="240" w:lineRule="auto"/>
      </w:pPr>
      <w:r>
        <w:rPr>
          <w:rFonts w:ascii="Times New Roman" w:hAnsi="Times New Roman" w:eastAsia="宋体"/>
          <w:b/>
          <w:sz w:val="24"/>
        </w:rPr>
        <w:t>4.1 当前存在的主要问题</w:t>
      </w:r>
    </w:p>
    <w:p w14:paraId="58E22A09">
      <w:pPr>
        <w:spacing w:before="0" w:after="0" w:line="240" w:lineRule="auto"/>
        <w:ind w:firstLine="420"/>
      </w:pPr>
      <w:r>
        <w:rPr>
          <w:rFonts w:ascii="Times New Roman" w:hAnsi="Times New Roman" w:eastAsia="宋体"/>
          <w:b w:val="0"/>
          <w:sz w:val="21"/>
        </w:rPr>
        <w:t>数据互通标准层面，不同BIM软件供应商各自为政，模型在跨平台流转时频繁出现构件属性丢失或格式解析异常等问题，多专业模型的整合过程往往需要耗费大量人工进行二次修正，严重削弱了协同管理应有的效率优势。这一问题在机电管线综合优化等需要频繁跨专业交换模型数据的场景中表现得尤为尖锐。</w:t>
      </w:r>
    </w:p>
    <w:p w14:paraId="7239978E">
      <w:pPr>
        <w:spacing w:before="0" w:after="0" w:line="240" w:lineRule="auto"/>
        <w:ind w:firstLine="420"/>
      </w:pPr>
      <w:r>
        <w:rPr>
          <w:rFonts w:ascii="Times New Roman" w:hAnsi="Times New Roman" w:eastAsia="宋体"/>
          <w:b w:val="0"/>
          <w:sz w:val="21"/>
        </w:rPr>
        <w:t>人才供给层面，复杂工程管理要求从业者同时具备扎实的工程技术功底和熟练的BIM建模与数据管理能力，然而现阶段高校课程体系中BIM相关内容大多停留在基础建模操作层面，企业内部的在职培训又缺乏系统性设计，导致市场上面向复杂工程场景的BIM复合型人才严重供不应求。</w:t>
      </w:r>
    </w:p>
    <w:p w14:paraId="53C6D816">
      <w:pPr>
        <w:spacing w:before="0" w:after="0" w:line="240" w:lineRule="auto"/>
        <w:ind w:firstLine="420"/>
      </w:pPr>
      <w:r>
        <w:rPr>
          <w:rFonts w:ascii="Times New Roman" w:hAnsi="Times New Roman" w:eastAsia="宋体"/>
          <w:b w:val="0"/>
          <w:sz w:val="21"/>
        </w:rPr>
        <w:t>组织惯性层面，BIM技术的深度嵌入不只是技术升级，更意味着项目管理流程和组织结构的根本性重组——但大量建筑企业，尤其是传统国有施工单位，其决策链条和管理文化仍深植于"图纸-会议-签字"的传统范式之中。当技术工具与组织土壤不匹配时，BIM往往沦为应付业主要求的"展示工具"，而非真正驱动管理决策的"生产系统"。</w:t>
      </w:r>
    </w:p>
    <w:p w14:paraId="70595890">
      <w:pPr>
        <w:spacing w:before="0" w:after="0" w:line="240" w:lineRule="auto"/>
        <w:ind w:firstLine="420"/>
      </w:pPr>
      <w:r>
        <w:rPr>
          <w:rFonts w:ascii="Times New Roman" w:hAnsi="Times New Roman" w:eastAsia="宋体"/>
          <w:b w:val="0"/>
          <w:sz w:val="21"/>
        </w:rPr>
        <w:t>投入产出认知层面，BIM体系的建设成本涵盖软件授权采购、高性能硬件部署以及持续的人员技能培训，前期投入门槛不低，而管理效益的显现却需要经历较长的消化周期。对于利润微薄且追求快速周转的中小型施工企业而言，这笔投资在短期账面上缺乏足够说服力，实施意愿自然趋于保守。</w:t>
      </w:r>
    </w:p>
    <w:p w14:paraId="6984988B">
      <w:pPr>
        <w:spacing w:before="0" w:after="0" w:line="240" w:lineRule="auto"/>
        <w:ind w:firstLine="420"/>
      </w:pPr>
      <w:r>
        <w:rPr>
          <w:rFonts w:ascii="Times New Roman" w:hAnsi="Times New Roman" w:eastAsia="宋体"/>
          <w:b w:val="0"/>
          <w:sz w:val="21"/>
        </w:rPr>
        <w:t>制度保障层面，BIM模型在工程合同纠纷中的证据效力、多参与方共同创作模型的知识产权界定、BIM成果的法定交付标准等一系列制度性问题，在立法和行业规范层面始终缺乏清晰的界定。制度供给的滞后使得BIM在运维阶段乃至工程全生命周期末端的深度应用缺乏法律底座。</w:t>
      </w:r>
    </w:p>
    <w:p w14:paraId="0F7C9D86">
      <w:pPr>
        <w:spacing w:before="0" w:after="0" w:line="240" w:lineRule="auto"/>
      </w:pPr>
      <w:r>
        <w:rPr>
          <w:rFonts w:ascii="Times New Roman" w:hAnsi="Times New Roman" w:eastAsia="宋体"/>
          <w:b/>
          <w:sz w:val="24"/>
        </w:rPr>
        <w:t>4.2 对策建议</w:t>
      </w:r>
    </w:p>
    <w:p w14:paraId="29A3BF75">
      <w:pPr>
        <w:spacing w:before="0" w:after="0" w:line="240" w:lineRule="auto"/>
        <w:ind w:firstLine="420"/>
      </w:pPr>
      <w:r>
        <w:rPr>
          <w:rFonts w:ascii="Times New Roman" w:hAnsi="Times New Roman" w:eastAsia="宋体"/>
          <w:b w:val="0"/>
          <w:sz w:val="21"/>
        </w:rPr>
        <w:t>瞄准标准短板，应推动政府主管机构与行业协会联合牵头，加快IFC等国际通用数据交换标准在国内的本土化适配进程，逐步建立起覆盖建筑全生命周期的统一数据字典和模型交付规范，从制度层面终结"数据不出软件"的困局。</w:t>
      </w:r>
    </w:p>
    <w:p w14:paraId="312B9F5D">
      <w:pPr>
        <w:spacing w:before="0" w:after="0" w:line="240" w:lineRule="auto"/>
        <w:ind w:firstLine="420"/>
      </w:pPr>
      <w:r>
        <w:rPr>
          <w:rFonts w:ascii="Times New Roman" w:hAnsi="Times New Roman" w:eastAsia="宋体"/>
          <w:b w:val="0"/>
          <w:sz w:val="21"/>
        </w:rPr>
        <w:t>瞄准人才短板，高校宜将BIM课程从孤立的软件操作教学中解放出来，嵌入到工程管理、结构设计、造价控制等核心专业课程的教学链路之中；企业端则可建立分岗位、分层级的BIM能力认证体系，并与薪酬晋升机制适度挂钩，形成人才成长的内部激励闭环。</w:t>
      </w:r>
    </w:p>
    <w:p w14:paraId="4EBEA1B2">
      <w:pPr>
        <w:spacing w:before="0" w:after="0" w:line="240" w:lineRule="auto"/>
        <w:ind w:firstLine="420"/>
      </w:pPr>
      <w:r>
        <w:rPr>
          <w:rFonts w:ascii="Times New Roman" w:hAnsi="Times New Roman" w:eastAsia="宋体"/>
          <w:b w:val="0"/>
          <w:sz w:val="21"/>
        </w:rPr>
        <w:t>瞄准组织转型短板，关键在于推行以BIM模型为唯一可信数据源的项目协同管理模式，参照集成化项目交付（IPD）理念重塑业主、设计方与承包商之间的契约关系和协作流程。技术可以引进，但流程的再造和管理文化的更新必须由组织内部自发完成。</w:t>
      </w:r>
    </w:p>
    <w:p w14:paraId="72185565">
      <w:pPr>
        <w:spacing w:before="0" w:after="0" w:line="240" w:lineRule="auto"/>
        <w:ind w:firstLine="420"/>
      </w:pPr>
      <w:r>
        <w:rPr>
          <w:rFonts w:ascii="Times New Roman" w:hAnsi="Times New Roman" w:eastAsia="宋体"/>
          <w:b w:val="0"/>
          <w:sz w:val="21"/>
        </w:rPr>
        <w:t>瞄准投入障碍，政府部门可通过税收优惠、专项补贴和评优加分等政策组合，降低企业尤其是中小企业初次部署BIM的经济门槛；企业自身则可采取"先关键后全局"的渐进式策略，优先在碰撞检测、工程量核算等高回报率环节集中投放BIM资源，用阶段性的效益反哺后续的全线拓展。</w:t>
      </w:r>
    </w:p>
    <w:p w14:paraId="7997A101">
      <w:pPr>
        <w:spacing w:before="0" w:after="0" w:line="240" w:lineRule="auto"/>
        <w:ind w:firstLine="420"/>
      </w:pPr>
      <w:r>
        <w:rPr>
          <w:rFonts w:ascii="Times New Roman" w:hAnsi="Times New Roman" w:eastAsia="宋体"/>
          <w:b w:val="0"/>
          <w:sz w:val="21"/>
        </w:rPr>
        <w:t>瞄准制度缺失，应尽快在工程合同示范文本中明确BIM模型的法定地位与交付效力，厘清多方协作产生的BIM成果的知识产权归属规则，并建立与BIM交付物特性相匹配的质量验收标准和归档规范。只有当法律框架为数字化成果撑起保护伞，BIM全生命周期的价值闭环才能最终合龙。</w:t>
      </w:r>
    </w:p>
    <w:p w14:paraId="3D8BD3E1">
      <w:pPr>
        <w:spacing w:before="0" w:after="0" w:line="240" w:lineRule="auto"/>
        <w:ind w:firstLine="420"/>
      </w:pPr>
      <w:r>
        <w:rPr>
          <w:rFonts w:ascii="Times New Roman" w:hAnsi="Times New Roman" w:eastAsia="宋体"/>
          <w:b w:val="0"/>
          <w:sz w:val="21"/>
        </w:rPr>
        <w:t>此外，站在技术演进的更长周期来看，BIM与人工智能、物联网、5G超低延迟通信以及数字孪生等新兴技术的系统性融合，将是决定其在复杂工程管理领域能走多远的战略变量。一旦BIM从静态的"信息档案"进化为动态的"智能决策体"，复杂工程管理有望真正实现从被动响应到主动预测的范式跃迁。</w:t>
      </w:r>
    </w:p>
    <w:p w14:paraId="3BEE50EA">
      <w:pPr>
        <w:spacing w:before="0" w:after="0" w:line="240" w:lineRule="auto"/>
      </w:pPr>
      <w:r>
        <w:rPr>
          <w:rFonts w:ascii="Times New Roman" w:hAnsi="Times New Roman" w:eastAsia="宋体"/>
          <w:b/>
          <w:sz w:val="28"/>
        </w:rPr>
        <w:t>5 结论</w:t>
      </w:r>
    </w:p>
    <w:p w14:paraId="39D9E032">
      <w:pPr>
        <w:spacing w:before="0" w:after="0" w:line="240" w:lineRule="auto"/>
        <w:ind w:firstLine="420"/>
      </w:pPr>
      <w:r>
        <w:rPr>
          <w:rFonts w:ascii="Times New Roman" w:hAnsi="Times New Roman" w:eastAsia="宋体"/>
          <w:b w:val="0"/>
          <w:sz w:val="21"/>
        </w:rPr>
        <w:t>本文通过对近五年相关文献的系统回顾与典型案例的交叉分析，描绘了BIM技术在复杂工程项目管理领域的应用版图与演进轨迹。可以看到，BIM凭借其对工程信息的数字化聚合与全生命周期贯通能力，直击了复杂工程管理中信息碎片化与多方协同失序这两大核心痛点，在设计优化、施工精细化和成本透明化等关键环节展现出令人瞩目的管理红利。</w:t>
      </w:r>
    </w:p>
    <w:p w14:paraId="13A6A105">
      <w:pPr>
        <w:spacing w:before="0" w:after="0" w:line="240" w:lineRule="auto"/>
        <w:ind w:firstLine="420"/>
      </w:pPr>
      <w:r>
        <w:rPr>
          <w:rFonts w:ascii="Times New Roman" w:hAnsi="Times New Roman" w:eastAsia="宋体"/>
          <w:b w:val="0"/>
          <w:sz w:val="21"/>
        </w:rPr>
        <w:t>但是也必须清醒地认识到，BIM在我国复杂工程领域的渗透绝非坦途。标准碎片化、人才结构性短缺、组织转型迟滞、投入回收周期漫长以及法律制度的系统性缺位，这五重壁垒相互交织，构成了一张制约BIM应用纵深推进的复杂阻力网络。要突破这一困局，显然需要政府、行业、企业和学术界的协同联动——在标准构建、人才培育、组织再造、政策激励和技术融合五个维度上同时发力，缺一不可。</w:t>
      </w:r>
    </w:p>
    <w:p w14:paraId="4A079358">
      <w:pPr>
        <w:spacing w:before="0" w:after="0" w:line="240" w:lineRule="auto"/>
        <w:ind w:firstLine="420"/>
      </w:pPr>
      <w:r>
        <w:rPr>
          <w:rFonts w:ascii="Times New Roman" w:hAnsi="Times New Roman" w:eastAsia="宋体"/>
          <w:b w:val="0"/>
          <w:sz w:val="21"/>
        </w:rPr>
        <w:t>本研究的主要局限在于以定性分析和案例归纳为核心手段，未能引入大规模问卷调查或面板数据计量检验来对各项管理效益的作用强度进行精确标定。后续研究工作可考虑设计面向不同工程类型和企业规模的问卷调研方案，或采用结构方程模型等量化工具，对BIM应用深度与管理绩效之间的因果关系及中介机制进行更为严谨的统计推断。</w:t>
      </w:r>
    </w:p>
    <w:p w14:paraId="790DCC1D">
      <w:pPr>
        <w:spacing w:before="0" w:after="0" w:line="240" w:lineRule="auto"/>
      </w:pPr>
      <w:r>
        <w:rPr>
          <w:rFonts w:ascii="Times New Roman" w:hAnsi="Times New Roman" w:eastAsia="宋体"/>
          <w:b/>
          <w:sz w:val="28"/>
        </w:rPr>
        <w:t>参考文献</w:t>
      </w:r>
    </w:p>
    <w:p w14:paraId="608E4919">
      <w:pPr>
        <w:spacing w:before="0" w:after="0" w:line="240" w:lineRule="auto"/>
      </w:pPr>
      <w:r>
        <w:rPr>
          <w:rFonts w:ascii="Times New Roman" w:hAnsi="Times New Roman" w:eastAsia="宋体"/>
          <w:b w:val="0"/>
          <w:sz w:val="21"/>
        </w:rPr>
        <w:t>[1] 张伟, 李强, 王芳. 基于结构方程模型的BIM技术在建设项目管理中的应用研究[J]. 建设科技, 2024(23): 112-118.</w:t>
      </w:r>
    </w:p>
    <w:p w14:paraId="02A340A8">
      <w:pPr>
        <w:spacing w:before="0" w:after="0" w:line="240" w:lineRule="auto"/>
      </w:pPr>
      <w:r>
        <w:rPr>
          <w:rFonts w:ascii="Times New Roman" w:hAnsi="Times New Roman" w:eastAsia="宋体"/>
          <w:b w:val="0"/>
          <w:sz w:val="21"/>
        </w:rPr>
        <w:t>[2] 陈大路. 基于BIM的复杂医疗综合体工程云端协同管理——以台州医院新园区项目为例[J]. 办公自动化, 2024(11): 45-50.</w:t>
      </w:r>
    </w:p>
    <w:p w14:paraId="58E84D05">
      <w:pPr>
        <w:spacing w:before="0" w:after="0" w:line="240" w:lineRule="auto"/>
      </w:pPr>
      <w:r>
        <w:rPr>
          <w:rFonts w:ascii="Times New Roman" w:hAnsi="Times New Roman" w:eastAsia="宋体"/>
          <w:b w:val="0"/>
          <w:sz w:val="21"/>
        </w:rPr>
        <w:t>[3] 刘明, 赵强. BIM技术在施工管理中的应用研究——以某综合体育馆建设为例[J]. 科技创新与生产力, 2023(10): 102-107.</w:t>
      </w:r>
    </w:p>
    <w:p w14:paraId="5B89913A">
      <w:pPr>
        <w:spacing w:before="0" w:after="0" w:line="240" w:lineRule="auto"/>
      </w:pPr>
      <w:r>
        <w:rPr>
          <w:rFonts w:ascii="Times New Roman" w:hAnsi="Times New Roman" w:eastAsia="宋体"/>
          <w:b w:val="0"/>
          <w:sz w:val="21"/>
        </w:rPr>
        <w:t>[4] 赵华. 基于BIM的项目管理模式及运用分析[J]. 工程建设与设计, 2023(2): 88-93.</w:t>
      </w:r>
    </w:p>
    <w:p w14:paraId="5E530EE1">
      <w:pPr>
        <w:spacing w:before="0" w:after="0" w:line="240" w:lineRule="auto"/>
      </w:pPr>
      <w:r>
        <w:rPr>
          <w:rFonts w:ascii="Times New Roman" w:hAnsi="Times New Roman" w:eastAsia="宋体"/>
          <w:b w:val="0"/>
          <w:sz w:val="21"/>
        </w:rPr>
        <w:t>[5] 周建华, 陈涛, 孙磊. 建筑工程项目BIM应用效益量化分析方法研究与应用[J]. 土木建筑工程信息技术, 2023, 15(2): 56-63.</w:t>
      </w:r>
    </w:p>
    <w:p w14:paraId="41BA3C62">
      <w:pPr>
        <w:spacing w:before="0" w:after="0" w:line="240" w:lineRule="auto"/>
      </w:pPr>
      <w:r>
        <w:rPr>
          <w:rFonts w:ascii="Times New Roman" w:hAnsi="Times New Roman" w:eastAsia="宋体"/>
          <w:b w:val="0"/>
          <w:sz w:val="21"/>
        </w:rPr>
        <w:t>[6] 王磊. 基于BIM技术的土木工程施工过程协同管理探究[J]. 建材发展导向, 2024(18): 78-83.</w:t>
      </w:r>
    </w:p>
    <w:p w14:paraId="6A41DFE3">
      <w:pPr>
        <w:spacing w:before="0" w:after="0" w:line="240" w:lineRule="auto"/>
      </w:pPr>
      <w:r>
        <w:rPr>
          <w:rFonts w:ascii="Times New Roman" w:hAnsi="Times New Roman" w:eastAsia="宋体"/>
          <w:b w:val="0"/>
          <w:sz w:val="21"/>
        </w:rPr>
        <w:t>[7] Li X, Wang Y, Zhang H. How building information modelling mitigates complexity and enhances performance in large-scale projects: Evidence from China[J]. International Journal of Project Management, 2025, 43(2): 102-118.</w:t>
      </w:r>
    </w:p>
    <w:p w14:paraId="3CBA6F25">
      <w:pPr>
        <w:spacing w:before="0" w:after="0" w:line="240" w:lineRule="auto"/>
      </w:pPr>
      <w:r>
        <w:rPr>
          <w:rFonts w:ascii="Times New Roman" w:hAnsi="Times New Roman" w:eastAsia="宋体"/>
          <w:b w:val="0"/>
          <w:sz w:val="21"/>
        </w:rPr>
        <w:t>[8] Zhang Y, Liu J, Chen W. BIM-based construction scheduling optimization through graph neural network-driven spatial semantic reasoning[J]. Automation in Construction, 2025, 168: 105-118.</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SOFF9CC612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80D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7"/>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5"/>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7"/>
    <w:semiHidden/>
    <w:unhideWhenUsed/>
    <w:uiPriority w:val="99"/>
    <w:pPr>
      <w:tabs>
        <w:tab w:val="center" w:pos="4680"/>
        <w:tab w:val="right" w:pos="9360"/>
      </w:tabs>
      <w:spacing w:after="0" w:line="240" w:lineRule="auto"/>
    </w:pPr>
  </w:style>
  <w:style w:type="paragraph" w:styleId="25">
    <w:name w:val="header"/>
    <w:basedOn w:val="1"/>
    <w:link w:val="136"/>
    <w:semiHidden/>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6"/>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basedOn w:val="132"/>
    <w:qFormat/>
    <w:uiPriority w:val="0"/>
  </w:style>
  <w:style w:type="character" w:styleId="135">
    <w:name w:val="Emphasis"/>
    <w:basedOn w:val="132"/>
    <w:qFormat/>
    <w:uiPriority w:val="20"/>
    <w:rPr>
      <w:i/>
      <w:iCs/>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分类号"/>
    <w:basedOn w:val="1"/>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6">
    <w:name w:val="封面日期"/>
    <w:basedOn w:val="1"/>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7">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8">
    <w:name w:val="硕士学位论文"/>
    <w:basedOn w:val="1"/>
    <w:uiPriority w:val="0"/>
    <w:pPr>
      <w:widowControl w:val="0"/>
      <w:spacing w:before="240" w:after="0" w:line="240" w:lineRule="auto"/>
      <w:jc w:val="center"/>
    </w:pPr>
    <w:rPr>
      <w:rFonts w:ascii="Times New Roman" w:hAnsi="Times New Roman" w:eastAsia="宋体" w:cs="Times New Roman"/>
      <w:kern w:val="2"/>
      <w:sz w:val="44"/>
      <w:szCs w:val="44"/>
      <w:lang w:eastAsia="zh-CN"/>
    </w:rPr>
  </w:style>
  <w:style w:type="paragraph" w:customStyle="1" w:styleId="169">
    <w:name w:val="研究生姓名"/>
    <w:basedOn w:val="1"/>
    <w:uiPriority w:val="0"/>
    <w:pPr>
      <w:widowControl w:val="0"/>
      <w:spacing w:after="0" w:line="240" w:lineRule="auto"/>
      <w:ind w:firstLine="700" w:firstLineChars="700"/>
      <w:jc w:val="both"/>
    </w:pPr>
    <w:rPr>
      <w:rFonts w:ascii="Times New Roman" w:hAnsi="Times New Roman" w:eastAsia="宋体"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5791</Words>
  <Characters>6554</Characters>
  <Lines>0</Lines>
  <Paragraphs>0</Paragraphs>
  <TotalTime>2</TotalTime>
  <ScaleCrop>false</ScaleCrop>
  <LinksUpToDate>false</LinksUpToDate>
  <CharactersWithSpaces>6663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0601何伟杰</cp:lastModifiedBy>
  <dcterms:modified xsi:type="dcterms:W3CDTF">2026-06-19T08:11:00Z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eyJoZGlkIjoiNDA5ZDlhZWM1OGZlZmNjNWY2OTRiZDg2NGFkZTc2YmMiLCJ1c2VySWQiOiI5MDI5ODk5MjIifQ==</vt:lpwstr>
  </property>
  <property fmtid="{D5CDD505-2E9C-101B-9397-08002B2CF9AE}" pid="3" name="KSOProductBuildVer">
    <vt:lpwstr>2052-12.1.0.26895</vt:lpwstr>
  </property>
  <property fmtid="{D5CDD505-2E9C-101B-9397-08002B2CF9AE}" pid="4" name="ICV">
    <vt:lpwstr>3DF4278FB7EF4A9CBD0C472B5A3D4587_12</vt:lpwstr>
  </property>
</Properties>
</file>