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eastAsia="黑体"/>
          <w:rFonts w:ascii="Times New Roman" w:hAnsi="Times New Roman"/>
          <w:b/>
          <w:sz w:val="36"/>
        </w:rPr>
        <w:t>人工智能在医疗诊断中的应用研究</w:t>
      </w:r>
    </w:p>
    <w:p>
      <w:pPr>
        <w:spacing w:line="360" w:lineRule="auto" w:before="240" w:after="120"/>
      </w:pPr>
      <w:r>
        <w:rPr>
          <w:rFonts w:ascii="Times New Roman" w:hAnsi="Times New Roman" w:eastAsia="黑体"/>
          <w:rFonts w:ascii="Times New Roman" w:hAnsi="Times New Roman"/>
          <w:b/>
          <w:sz w:val="32"/>
        </w:rPr>
        <w:t>摘要</w:t>
      </w:r>
    </w:p>
    <w:p>
      <w:pPr>
        <w:spacing w:line="360" w:lineRule="auto" w:before="0" w:after="0"/>
        <w:ind w:firstLine="480"/>
        <w:jc w:val="both"/>
      </w:pPr>
      <w:r>
        <w:rPr>
          <w:rFonts w:ascii="Times New Roman" w:hAnsi="Times New Roman" w:eastAsia="宋体"/>
          <w:rFonts w:ascii="Times New Roman" w:hAnsi="Times New Roman"/>
          <w:b w:val="0"/>
          <w:sz w:val="24"/>
        </w:rPr>
        <w:t>人工智能前沿技术——尤其是深度学习和自然语言处理——正悄然改写医疗诊断的底层逻辑。本文以AI辅助诊断系统为研究主线，横跨医学影像识别、病理分析和临床决策支持三大场景，逐层拆解其技术路径。借助对8篇核心文献的深度剖析，文章指出：数据质量的参差不齐、模型"黑箱"的不可解释性以及临床验证的缺位，构成了当前AI诊断落地的三座大山。解决之道在于人机协同的混合模式——让AI负责高通量筛查，医生掌舵复杂判断。迈向真正的临床落地，还需在数据标准化、算法透明化和监管规范化上持续攻坚。</w:t>
      </w:r>
    </w:p>
    <w:p>
      <w:pPr>
        <w:spacing w:line="360" w:lineRule="auto" w:before="0" w:after="0"/>
        <w:ind w:firstLine="480"/>
        <w:jc w:val="both"/>
      </w:pPr>
      <w:r>
        <w:rPr>
          <w:rFonts w:ascii="Times New Roman" w:hAnsi="Times New Roman" w:eastAsia="宋体"/>
          <w:rFonts w:ascii="Times New Roman" w:hAnsi="Times New Roman"/>
          <w:b w:val="0"/>
          <w:sz w:val="24"/>
        </w:rPr>
        <w:t>**关键词**：人工智能；医疗诊断；深度学习；医学影像；人机协同</w:t>
      </w:r>
    </w:p>
    <w:p>
      <w:pPr>
        <w:spacing w:line="360" w:lineRule="auto" w:before="240" w:after="120"/>
      </w:pPr>
      <w:r>
        <w:rPr>
          <w:rFonts w:ascii="Times New Roman" w:hAnsi="Times New Roman" w:eastAsia="黑体"/>
          <w:rFonts w:ascii="Times New Roman" w:hAnsi="Times New Roman"/>
          <w:b/>
          <w:sz w:val="32"/>
        </w:rPr>
        <w:t>Abstract</w:t>
      </w:r>
    </w:p>
    <w:p>
      <w:pPr>
        <w:spacing w:line="360" w:lineRule="auto" w:before="0" w:after="0"/>
        <w:ind w:firstLine="480"/>
        <w:jc w:val="both"/>
      </w:pPr>
      <w:r>
        <w:rPr>
          <w:rFonts w:ascii="Times New Roman" w:hAnsi="Times New Roman" w:eastAsia="宋体"/>
          <w:rFonts w:ascii="Times New Roman" w:hAnsi="Times New Roman"/>
          <w:b w:val="0"/>
          <w:sz w:val="24"/>
        </w:rPr>
        <w:t>Artificial intelligence—deep learning and natural language processing in particular—is quietly reshaping the logic of medical diagnosis. This study traces the technical pathways of AI-assisted diagnostic systems across three domains: medical imaging, pathology, and clinical decision support. Drawing on eight core studies, the paper identifies three persistent bottlenecks holding back clinical deployment: inconsistent data quality, the opacity of black-box models, and a shortage of prospective clinical validation. We argue for a human-machine collaborative model: AI handles high-throughput screening, while clinicians retain authority over ambiguous cases. Real progress demands simultaneous advances in data standardization, algorithmic transparency, and regulatory maturity.</w:t>
      </w:r>
    </w:p>
    <w:p>
      <w:pPr>
        <w:spacing w:line="360" w:lineRule="auto" w:before="0" w:after="0"/>
        <w:ind w:firstLine="480"/>
        <w:jc w:val="both"/>
      </w:pPr>
      <w:r>
        <w:rPr>
          <w:rFonts w:ascii="Times New Roman" w:hAnsi="Times New Roman" w:eastAsia="宋体"/>
          <w:rFonts w:ascii="Times New Roman" w:hAnsi="Times New Roman"/>
          <w:b w:val="0"/>
          <w:sz w:val="24"/>
        </w:rPr>
        <w:t>**Keywords**: Artificial Intelligence; Medical Diagnosis; Deep Learning; Medical Imaging; Human-Machine Collaboration</w:t>
      </w:r>
    </w:p>
    <w:p>
      <w:pPr>
        <w:spacing w:line="120" w:lineRule="auto"/>
      </w:pPr>
    </w:p>
    <w:p>
      <w:pPr>
        <w:spacing w:line="360" w:lineRule="auto" w:before="240" w:after="120"/>
      </w:pPr>
      <w:r>
        <w:rPr>
          <w:rFonts w:ascii="Times New Roman" w:hAnsi="Times New Roman" w:eastAsia="黑体"/>
          <w:rFonts w:ascii="Times New Roman" w:hAnsi="Times New Roman"/>
          <w:b/>
          <w:sz w:val="32"/>
        </w:rPr>
        <w:t>一、引言</w:t>
      </w:r>
    </w:p>
    <w:p>
      <w:pPr>
        <w:spacing w:line="360" w:lineRule="auto" w:before="240" w:after="120"/>
      </w:pPr>
      <w:r>
        <w:rPr>
          <w:rFonts w:ascii="Times New Roman" w:hAnsi="Times New Roman" w:eastAsia="黑体"/>
          <w:rFonts w:ascii="Times New Roman" w:hAnsi="Times New Roman"/>
          <w:b/>
          <w:sz w:val="28"/>
        </w:rPr>
        <w:t>1.1 研究背景</w:t>
      </w:r>
    </w:p>
    <w:p>
      <w:pPr>
        <w:spacing w:line="360" w:lineRule="auto" w:before="0" w:after="0"/>
        <w:ind w:firstLine="480"/>
        <w:jc w:val="both"/>
      </w:pPr>
      <w:r>
        <w:rPr>
          <w:rFonts w:ascii="Times New Roman" w:hAnsi="Times New Roman" w:eastAsia="宋体"/>
          <w:rFonts w:ascii="Times New Roman" w:hAnsi="Times New Roman"/>
          <w:b w:val="0"/>
          <w:sz w:val="24"/>
        </w:rPr>
        <w:t>诊断是临床医学的咽喉。它的准确与否，直接牵动患者的生存质量，甚至生死。然而，传统诊断模式高度依赖医生的个体经验——一名放射科医生每年需审阅数万幅影像，疲劳和认知偏差难以避免。基层医疗机构的情况更加严峻：设备不差，但能精准读片的人太少。</w:t>
      </w:r>
    </w:p>
    <w:p>
      <w:pPr>
        <w:spacing w:line="360" w:lineRule="auto" w:before="0" w:after="0"/>
        <w:ind w:firstLine="480"/>
        <w:jc w:val="both"/>
      </w:pPr>
      <w:r>
        <w:rPr>
          <w:rFonts w:ascii="Times New Roman" w:hAnsi="Times New Roman" w:eastAsia="宋体"/>
          <w:rFonts w:ascii="Times New Roman" w:hAnsi="Times New Roman"/>
          <w:b w:val="0"/>
          <w:sz w:val="24"/>
        </w:rPr>
        <w:t>转机来自深度学习。卷积神经网络（CNN）在ImageNet上的突破，意外地为医学影像分析打开了一扇窗。短短几年间，AI系统在肺结节检出、糖尿病视网膜病变筛查、皮肤癌分类等任务上的表现，已经逼近甚至超越了资深专科医生。紧接着，Transformer架构和大规模预训练模型将这一趋势从视觉领域推向了临床文本理解，电子病历的结构化提取、鉴别诊断的自动生成不再是纸上谈兵。</w:t>
      </w:r>
    </w:p>
    <w:p>
      <w:pPr>
        <w:spacing w:line="360" w:lineRule="auto" w:before="0" w:after="0"/>
        <w:ind w:firstLine="480"/>
        <w:jc w:val="both"/>
      </w:pPr>
      <w:r>
        <w:rPr>
          <w:rFonts w:ascii="Times New Roman" w:hAnsi="Times New Roman" w:eastAsia="宋体"/>
          <w:rFonts w:ascii="Times New Roman" w:hAnsi="Times New Roman"/>
          <w:b w:val="0"/>
          <w:sz w:val="24"/>
        </w:rPr>
        <w:t>政策端同样在加码。国务院《新一代人工智能发展规划》将智能医疗列为重点方向，明确提出"推广应用人工智能治疗新模式新手段"。从国家战略到产业落地，AI诊断的赛道已经铺就。</w:t>
      </w:r>
    </w:p>
    <w:p>
      <w:pPr>
        <w:spacing w:line="360" w:lineRule="auto" w:before="0" w:after="0"/>
        <w:ind w:firstLine="480"/>
        <w:jc w:val="both"/>
      </w:pPr>
      <w:r>
        <w:rPr>
          <w:rFonts w:ascii="Times New Roman" w:hAnsi="Times New Roman" w:eastAsia="宋体"/>
          <w:rFonts w:ascii="Times New Roman" w:hAnsi="Times New Roman"/>
          <w:b w:val="0"/>
          <w:sz w:val="24"/>
        </w:rPr>
        <w:t>但热情之下，冷水亦不可少。当前AI诊断的绝大多数证据来自单中心、回顾性数据集。模型在A医院表现惊艳，换到B医院可能大幅退步。更棘手的是，医生很难理解一个深度网络为何做出某个判断——在医疗领域，"因为模型说是"从来不是一个可接受的解释。这些挑战横亘在实验室与诊室之间，构成了本文试图回答的核心问题。</w:t>
      </w:r>
    </w:p>
    <w:p>
      <w:pPr>
        <w:spacing w:line="360" w:lineRule="auto" w:before="240" w:after="120"/>
      </w:pPr>
      <w:r>
        <w:rPr>
          <w:rFonts w:ascii="Times New Roman" w:hAnsi="Times New Roman" w:eastAsia="黑体"/>
          <w:rFonts w:ascii="Times New Roman" w:hAnsi="Times New Roman"/>
          <w:b/>
          <w:sz w:val="28"/>
        </w:rPr>
        <w:t>1.2 研究意义</w:t>
      </w:r>
    </w:p>
    <w:p>
      <w:pPr>
        <w:spacing w:line="360" w:lineRule="auto" w:before="0" w:after="0"/>
        <w:ind w:firstLine="480"/>
        <w:jc w:val="both"/>
      </w:pPr>
      <w:r>
        <w:rPr>
          <w:rFonts w:ascii="Times New Roman" w:hAnsi="Times New Roman" w:eastAsia="宋体"/>
          <w:rFonts w:ascii="Times New Roman" w:hAnsi="Times New Roman"/>
          <w:b w:val="0"/>
          <w:sz w:val="24"/>
        </w:rPr>
        <w:t>理论维度上，本文并非简单罗列AI诊断的"能做什么"，而是尝试回答"为什么某些场景中AI成功了，另一些却屡试屡败"。这一追问有助于厘清深度学习方法的真实适用边界，避免技术乐观主义催生的盲目跟风。</w:t>
      </w:r>
    </w:p>
    <w:p>
      <w:pPr>
        <w:spacing w:line="360" w:lineRule="auto" w:before="0" w:after="0"/>
        <w:ind w:firstLine="480"/>
        <w:jc w:val="both"/>
      </w:pPr>
      <w:r>
        <w:rPr>
          <w:rFonts w:ascii="Times New Roman" w:hAnsi="Times New Roman" w:eastAsia="宋体"/>
          <w:rFonts w:ascii="Times New Roman" w:hAnsi="Times New Roman"/>
          <w:b w:val="0"/>
          <w:sz w:val="24"/>
        </w:rPr>
        <w:t>实践维度上，对于正在或即将引入AI诊断工具的医院而言，本文提供了一份基于文献证据的"避坑指南"——哪些环节AI确实能提效，哪些风险需要在部署前预先防范。</w:t>
      </w:r>
    </w:p>
    <w:p>
      <w:pPr>
        <w:spacing w:line="360" w:lineRule="auto" w:before="240" w:after="120"/>
      </w:pPr>
      <w:r>
        <w:rPr>
          <w:rFonts w:ascii="Times New Roman" w:hAnsi="Times New Roman" w:eastAsia="黑体"/>
          <w:rFonts w:ascii="Times New Roman" w:hAnsi="Times New Roman"/>
          <w:b/>
          <w:sz w:val="28"/>
        </w:rPr>
        <w:t>1.3 研究问题与创新点</w:t>
      </w:r>
    </w:p>
    <w:p>
      <w:pPr>
        <w:spacing w:line="360" w:lineRule="auto" w:before="0" w:after="0"/>
        <w:ind w:firstLine="480"/>
        <w:jc w:val="both"/>
      </w:pPr>
      <w:r>
        <w:rPr>
          <w:rFonts w:ascii="Times New Roman" w:hAnsi="Times New Roman" w:eastAsia="宋体"/>
          <w:rFonts w:ascii="Times New Roman" w:hAnsi="Times New Roman"/>
          <w:b w:val="0"/>
          <w:sz w:val="24"/>
        </w:rPr>
        <w:t>本文围绕三个递进式问题展开：AI在医疗诊断中真正落地的场景有哪些？制约其规模化的关键瓶颈何在？怎样的协作模式能兼顾临床安全与诊断效率？</w:t>
      </w:r>
    </w:p>
    <w:p>
      <w:pPr>
        <w:spacing w:line="360" w:lineRule="auto" w:before="0" w:after="0"/>
        <w:ind w:firstLine="480"/>
        <w:jc w:val="both"/>
      </w:pPr>
      <w:r>
        <w:rPr>
          <w:rFonts w:ascii="Times New Roman" w:hAnsi="Times New Roman" w:eastAsia="宋体"/>
          <w:rFonts w:ascii="Times New Roman" w:hAnsi="Times New Roman"/>
          <w:b w:val="0"/>
          <w:sz w:val="24"/>
        </w:rPr>
        <w:t>相较于既有综述，本文的特色在于：其一，不局限于技术指标的罗列，而是从技术-临床-监管三元框架展开交叉分析；其二，旗帜鲜明地提出人机协同的阶梯式分工方案，而非笼统地呼吁"AI辅助诊断"。</w:t>
      </w:r>
    </w:p>
    <w:p>
      <w:pPr>
        <w:spacing w:line="120" w:lineRule="auto"/>
      </w:pPr>
    </w:p>
    <w:p>
      <w:pPr>
        <w:spacing w:line="360" w:lineRule="auto" w:before="240" w:after="120"/>
      </w:pPr>
      <w:r>
        <w:rPr>
          <w:rFonts w:ascii="Times New Roman" w:hAnsi="Times New Roman" w:eastAsia="黑体"/>
          <w:rFonts w:ascii="Times New Roman" w:hAnsi="Times New Roman"/>
          <w:b/>
          <w:sz w:val="32"/>
        </w:rPr>
        <w:t>二、文献综述</w:t>
      </w:r>
    </w:p>
    <w:p>
      <w:pPr>
        <w:spacing w:line="360" w:lineRule="auto" w:before="240" w:after="120"/>
      </w:pPr>
      <w:r>
        <w:rPr>
          <w:rFonts w:ascii="Times New Roman" w:hAnsi="Times New Roman" w:eastAsia="黑体"/>
          <w:rFonts w:ascii="Times New Roman" w:hAnsi="Times New Roman"/>
          <w:b/>
          <w:sz w:val="28"/>
        </w:rPr>
        <w:t>2.1 理论基础</w:t>
      </w:r>
    </w:p>
    <w:p>
      <w:pPr>
        <w:spacing w:line="360" w:lineRule="auto" w:before="0" w:after="0"/>
        <w:ind w:firstLine="480"/>
        <w:jc w:val="both"/>
      </w:pPr>
      <w:r>
        <w:rPr>
          <w:rFonts w:ascii="Times New Roman" w:hAnsi="Times New Roman" w:eastAsia="宋体"/>
          <w:rFonts w:ascii="Times New Roman" w:hAnsi="Times New Roman"/>
          <w:b w:val="0"/>
          <w:sz w:val="24"/>
        </w:rPr>
        <w:t>AI辅助诊断的根基有三根支柱：深度学习、模式识别与医学信息学。</w:t>
      </w:r>
    </w:p>
    <w:p>
      <w:pPr>
        <w:spacing w:line="360" w:lineRule="auto" w:before="0" w:after="0"/>
        <w:ind w:firstLine="480"/>
        <w:jc w:val="both"/>
      </w:pPr>
      <w:r>
        <w:rPr>
          <w:rFonts w:ascii="Times New Roman" w:hAnsi="Times New Roman" w:eastAsia="宋体"/>
          <w:rFonts w:ascii="Times New Roman" w:hAnsi="Times New Roman"/>
          <w:b w:val="0"/>
          <w:sz w:val="24"/>
        </w:rPr>
        <w:t>深度学习赋予了机器从高维医学数据中自主学习表征的能力。CNN的层级化特征提取，天然适配医学影像的层次化视觉结构——从边缘到纹理，从局灶到全局。早期的迁移学习策略（如ImageNet预训练→医学影像微调）降低了数据量的门槛；随后出现的ResNet、DenseNet用跳跃连接和密集连接缓解了深层网络的梯度消失，让百层以上的网络也能稳定训练。近两年来，Vision Transformer凭借自注意力机制开始挑战CNN在医学影像领域的统治地位——它不再依赖局部感受野，而是一次性建模全局依赖关系，这在弥漫性病变（如间质性肺炎）的识别中展现出独特优势。</w:t>
      </w:r>
    </w:p>
    <w:p>
      <w:pPr>
        <w:spacing w:line="360" w:lineRule="auto" w:before="0" w:after="0"/>
        <w:ind w:firstLine="480"/>
        <w:jc w:val="both"/>
      </w:pPr>
      <w:r>
        <w:rPr>
          <w:rFonts w:ascii="Times New Roman" w:hAnsi="Times New Roman" w:eastAsia="宋体"/>
          <w:rFonts w:ascii="Times New Roman" w:hAnsi="Times New Roman"/>
          <w:b w:val="0"/>
          <w:sz w:val="24"/>
        </w:rPr>
        <w:t>自然语言处理侧的变革同样深刻。BERT和GPT系列模型的出现，使机器在电子病历信息抽取、放射报告自动生成和医学知识图谱构建等任务上的表现产生了质的跃升。一个值得关注的新趋势是多模态融合——将影像特征与文本描述映射到统一的语义空间，有望实现影像所见→文字描述→鉴别诊断的端到端推理链。</w:t>
      </w:r>
    </w:p>
    <w:p>
      <w:pPr>
        <w:spacing w:line="360" w:lineRule="auto" w:before="0" w:after="0"/>
        <w:ind w:firstLine="480"/>
        <w:jc w:val="both"/>
      </w:pPr>
      <w:r>
        <w:rPr>
          <w:rFonts w:ascii="Times New Roman" w:hAnsi="Times New Roman" w:eastAsia="宋体"/>
          <w:rFonts w:ascii="Times New Roman" w:hAnsi="Times New Roman"/>
          <w:b w:val="0"/>
          <w:sz w:val="24"/>
        </w:rPr>
        <w:t>模式识别理论为诊断AI提供了数学基础。从贝叶斯决策到支持向量机，从随机森林到梯度提升树，每种算法代表了一种对"正常vs异常"边界的建模策略。深度学习的优势在于，它省去了手工设计特征的步骤，让模型自己从数据中寻找最优表示——代价是对数据量和质量的高度依赖。</w:t>
      </w:r>
    </w:p>
    <w:p>
      <w:pPr>
        <w:spacing w:line="360" w:lineRule="auto" w:before="240" w:after="120"/>
      </w:pPr>
      <w:r>
        <w:rPr>
          <w:rFonts w:ascii="Times New Roman" w:hAnsi="Times New Roman" w:eastAsia="黑体"/>
          <w:rFonts w:ascii="Times New Roman" w:hAnsi="Times New Roman"/>
          <w:b/>
          <w:sz w:val="28"/>
        </w:rPr>
        <w:t>2.2 国内外研究现状</w:t>
      </w:r>
    </w:p>
    <w:p>
      <w:pPr>
        <w:spacing w:line="360" w:lineRule="auto" w:before="0" w:after="0"/>
        <w:ind w:firstLine="480"/>
        <w:jc w:val="both"/>
      </w:pPr>
      <w:r>
        <w:rPr>
          <w:rFonts w:ascii="Times New Roman" w:hAnsi="Times New Roman" w:eastAsia="宋体"/>
          <w:rFonts w:ascii="Times New Roman" w:hAnsi="Times New Roman"/>
          <w:b w:val="0"/>
          <w:sz w:val="24"/>
        </w:rPr>
        <w:t>AI医疗诊断的研究图谱大致可划分为影像诊断、病理分析和决策支持三大版块。</w:t>
      </w:r>
    </w:p>
    <w:p>
      <w:pPr>
        <w:spacing w:line="360" w:lineRule="auto" w:before="0" w:after="0"/>
        <w:ind w:firstLine="480"/>
        <w:jc w:val="both"/>
      </w:pPr>
      <w:r>
        <w:rPr>
          <w:rFonts w:ascii="Times New Roman" w:hAnsi="Times New Roman" w:eastAsia="宋体"/>
          <w:rFonts w:ascii="Times New Roman" w:hAnsi="Times New Roman"/>
          <w:b w:val="0"/>
          <w:sz w:val="24"/>
        </w:rPr>
        <w:t>影像诊断是目前最拥挤也最成熟的赛道。高引用综述指出，AI系统在肺结节、乳腺癌和脑卒中识别上的准确率已达到甚至超过资深放射科医生[1]。专项研究进一步区分了不同影像模态中AI的表现差异：CT和MRI数据标准化程度高、成像协议相对统一，模型泛化能力较强；相比之下，超声受操作者手法影响大，AI在不同医生采集的图像间表现出较大的性能波动[2]。有学者将AI辅助诊断的全流程——从图像采集质控、病灶检测分割、特征提取到结构化报告生成——整合为一个端到端的闭环工作流，在单中心验证中取得了令人瞩目的效率提升[3]。最新的综述则聚焦自监督学习和联邦学习两大新兴范式：前者试图摆脱对大量人工标注的依赖，后者则为跨机构数据协作提供了"数据不出院"的隐私保护方案[4]。</w:t>
      </w:r>
    </w:p>
    <w:p>
      <w:pPr>
        <w:spacing w:line="360" w:lineRule="auto" w:before="0" w:after="0"/>
        <w:ind w:firstLine="480"/>
        <w:jc w:val="both"/>
      </w:pPr>
      <w:r>
        <w:rPr>
          <w:rFonts w:ascii="Times New Roman" w:hAnsi="Times New Roman" w:eastAsia="宋体"/>
          <w:rFonts w:ascii="Times New Roman" w:hAnsi="Times New Roman"/>
          <w:b w:val="0"/>
          <w:sz w:val="24"/>
        </w:rPr>
        <w:t>决策支持方面，AI的表现喜忧参半。疾病风险预测模型在心血管和糖尿病等慢病管理中展现了预测价值[5]，但在急诊场景中的表现远不如人意——嘈杂环境、不完整信息和高压决策的叠加，对算法的鲁棒性和实时性构成了严峻考验。一些研究发现，当AI给出的建议与医生初始判断一致时，诊断信心显著增强；但当AI建议与医生判断相左时，大多数医生选择忽视AI——这意味着，当前的AI决策支持系统更多扮演着"确认偏误放大器"的角色，而非真正意义上的"第二意见提供者"。</w:t>
      </w:r>
    </w:p>
    <w:p>
      <w:pPr>
        <w:spacing w:line="360" w:lineRule="auto" w:before="0" w:after="0"/>
        <w:ind w:firstLine="480"/>
        <w:jc w:val="both"/>
      </w:pPr>
      <w:r>
        <w:rPr>
          <w:rFonts w:ascii="Times New Roman" w:hAnsi="Times New Roman" w:eastAsia="宋体"/>
          <w:rFonts w:ascii="Times New Roman" w:hAnsi="Times New Roman"/>
          <w:b w:val="0"/>
          <w:sz w:val="24"/>
        </w:rPr>
        <w:t>值得注意的还有教育与培训维度。AI诊断系统被引入住院医师规范化培训后，影像解读的标准化程度显著提升[6]，基于真实病例的AI教学平台在医学影像诊断学实验教学中也取得了积极效果[7]。综合性的AI医疗应用研究表明，诊断、治疗、管理和科研四个环节中，诊断是目前AI渗透率最高但争议也最集中的环节[8]。</w:t>
      </w:r>
    </w:p>
    <w:p>
      <w:pPr>
        <w:spacing w:line="360" w:lineRule="auto" w:before="240" w:after="120"/>
      </w:pPr>
      <w:r>
        <w:rPr>
          <w:rFonts w:ascii="Times New Roman" w:hAnsi="Times New Roman" w:eastAsia="黑体"/>
          <w:rFonts w:ascii="Times New Roman" w:hAnsi="Times New Roman"/>
          <w:b/>
          <w:sz w:val="28"/>
        </w:rPr>
        <w:t>2.3 研究缺口</w:t>
      </w:r>
    </w:p>
    <w:p>
      <w:pPr>
        <w:spacing w:line="360" w:lineRule="auto" w:before="0" w:after="0"/>
        <w:ind w:firstLine="480"/>
        <w:jc w:val="both"/>
      </w:pPr>
      <w:r>
        <w:rPr>
          <w:rFonts w:ascii="Times New Roman" w:hAnsi="Times New Roman" w:eastAsia="宋体"/>
          <w:rFonts w:ascii="Times New Roman" w:hAnsi="Times New Roman"/>
          <w:b w:val="0"/>
          <w:sz w:val="24"/>
        </w:rPr>
        <w:t>盘点已有研究，四个缺口格外醒目。</w:t>
      </w:r>
    </w:p>
    <w:p>
      <w:pPr>
        <w:spacing w:line="360" w:lineRule="auto" w:before="0" w:after="0"/>
        <w:ind w:firstLine="480"/>
        <w:jc w:val="both"/>
      </w:pPr>
      <w:r>
        <w:rPr>
          <w:rFonts w:ascii="Times New Roman" w:hAnsi="Times New Roman" w:eastAsia="宋体"/>
          <w:rFonts w:ascii="Times New Roman" w:hAnsi="Times New Roman"/>
          <w:b w:val="0"/>
          <w:sz w:val="24"/>
        </w:rPr>
        <w:t>其一，证据等级的断层。大多数模型验证止步于回顾性数据集，多中心、前瞻性、随机对照的临床研究屈指可数。FDA批准的AI诊断产品数量在增加，但对应的上市后真实世界研究并未同步跟进。</w:t>
      </w:r>
    </w:p>
    <w:p>
      <w:pPr>
        <w:spacing w:line="360" w:lineRule="auto" w:before="0" w:after="0"/>
        <w:ind w:firstLine="480"/>
        <w:jc w:val="both"/>
      </w:pPr>
      <w:r>
        <w:rPr>
          <w:rFonts w:ascii="Times New Roman" w:hAnsi="Times New Roman" w:eastAsia="宋体"/>
          <w:rFonts w:ascii="Times New Roman" w:hAnsi="Times New Roman"/>
          <w:b w:val="0"/>
          <w:sz w:val="24"/>
        </w:rPr>
        <w:t>其二，解释性研究的滞后。可解释AI在计算机视觉领域已是一大热门方向，但在医学领域的适配远未完成。Grad-CAM生成的热力图固然直观，但医生真正需要的是因果层面的解释——"AI注意到这个区域，是因为它与某种病理机制相关"，而非仅仅是"这个区域的像素贡献了分类权重"。</w:t>
      </w:r>
    </w:p>
    <w:p>
      <w:pPr>
        <w:spacing w:line="360" w:lineRule="auto" w:before="0" w:after="0"/>
        <w:ind w:firstLine="480"/>
        <w:jc w:val="both"/>
      </w:pPr>
      <w:r>
        <w:rPr>
          <w:rFonts w:ascii="Times New Roman" w:hAnsi="Times New Roman" w:eastAsia="宋体"/>
          <w:rFonts w:ascii="Times New Roman" w:hAnsi="Times New Roman"/>
          <w:b w:val="0"/>
          <w:sz w:val="24"/>
        </w:rPr>
        <w:t>其三，工作流整合的忽视。太多研究孤立地优化模型AUC，而对"AI嵌入诊室后医生怎么用、患者怎么想、流程怎么变"这类问题几乎没有涉及。技术指标不等于临床价值——这一认知在AI诊断社区尚未形成共识。</w:t>
      </w:r>
    </w:p>
    <w:p>
      <w:pPr>
        <w:spacing w:line="360" w:lineRule="auto" w:before="0" w:after="0"/>
        <w:ind w:firstLine="480"/>
        <w:jc w:val="both"/>
      </w:pPr>
      <w:r>
        <w:rPr>
          <w:rFonts w:ascii="Times New Roman" w:hAnsi="Times New Roman" w:eastAsia="宋体"/>
          <w:rFonts w:ascii="Times New Roman" w:hAnsi="Times New Roman"/>
          <w:b w:val="0"/>
          <w:sz w:val="24"/>
        </w:rPr>
        <w:t>其四，监管框架的空白。AI诊断产品属于医疗器械，但"持续学习"型算法对传统审评体系——假设产品出厂后功能固定——构成了根本性挑战。何时需要重新审批？谁对AI的误诊负法律责任？这些问题的答案仍在探索之中。</w:t>
      </w:r>
    </w:p>
    <w:p>
      <w:pPr>
        <w:spacing w:line="120" w:lineRule="auto"/>
      </w:pPr>
    </w:p>
    <w:p>
      <w:pPr>
        <w:spacing w:line="360" w:lineRule="auto" w:before="240" w:after="120"/>
      </w:pPr>
      <w:r>
        <w:rPr>
          <w:rFonts w:ascii="Times New Roman" w:hAnsi="Times New Roman" w:eastAsia="黑体"/>
          <w:rFonts w:ascii="Times New Roman" w:hAnsi="Times New Roman"/>
          <w:b/>
          <w:sz w:val="32"/>
        </w:rPr>
        <w:t>三、研究设计</w:t>
      </w:r>
    </w:p>
    <w:p>
      <w:pPr>
        <w:spacing w:line="360" w:lineRule="auto" w:before="240" w:after="120"/>
      </w:pPr>
      <w:r>
        <w:rPr>
          <w:rFonts w:ascii="Times New Roman" w:hAnsi="Times New Roman" w:eastAsia="黑体"/>
          <w:rFonts w:ascii="Times New Roman" w:hAnsi="Times New Roman"/>
          <w:b/>
          <w:sz w:val="28"/>
        </w:rPr>
        <w:t>3.1 研究框架</w:t>
      </w:r>
    </w:p>
    <w:p>
      <w:pPr>
        <w:spacing w:line="360" w:lineRule="auto" w:before="0" w:after="0"/>
        <w:ind w:firstLine="480"/>
        <w:jc w:val="both"/>
      </w:pPr>
      <w:r>
        <w:rPr>
          <w:rFonts w:ascii="Times New Roman" w:hAnsi="Times New Roman" w:eastAsia="宋体"/>
          <w:rFonts w:ascii="Times New Roman" w:hAnsi="Times New Roman"/>
          <w:b w:val="0"/>
          <w:sz w:val="24"/>
        </w:rPr>
        <w:t>本文搭建了"技术-应用-挑战-对策"的四维分析框架。技术维度追溯AI诊断的算法演进和架构选型逻辑；应用维度刻画不同临床场景中的部署模式和效果差异；挑战维度从数据、算法、临床和监管四个子项切入；对策维度则在人机协同的总原则下给出分级行动建议。</w:t>
      </w:r>
    </w:p>
    <w:p>
      <w:pPr>
        <w:spacing w:line="360" w:lineRule="auto" w:before="240" w:after="120"/>
      </w:pPr>
      <w:r>
        <w:rPr>
          <w:rFonts w:ascii="Times New Roman" w:hAnsi="Times New Roman" w:eastAsia="黑体"/>
          <w:rFonts w:ascii="Times New Roman" w:hAnsi="Times New Roman"/>
          <w:b/>
          <w:sz w:val="28"/>
        </w:rPr>
        <w:t>3.2 研究方法</w:t>
      </w:r>
    </w:p>
    <w:p>
      <w:pPr>
        <w:spacing w:line="360" w:lineRule="auto" w:before="0" w:after="0"/>
        <w:ind w:firstLine="480"/>
        <w:jc w:val="both"/>
      </w:pPr>
      <w:r>
        <w:rPr>
          <w:rFonts w:ascii="Times New Roman" w:hAnsi="Times New Roman" w:eastAsia="宋体"/>
          <w:rFonts w:ascii="Times New Roman" w:hAnsi="Times New Roman"/>
          <w:b w:val="0"/>
          <w:sz w:val="24"/>
        </w:rPr>
        <w:t>本文以文献系统综述法为主轴，检索范围覆盖CNKI核心期刊、Web of Science收录的SCI/SSCI论文以及Google Scholar高引文献。筛选标准兼顾时效性（以近五年为主）和引用影响力（优先纳入高引文献）。</w:t>
      </w:r>
    </w:p>
    <w:p>
      <w:pPr>
        <w:spacing w:line="360" w:lineRule="auto" w:before="0" w:after="0"/>
        <w:ind w:firstLine="480"/>
        <w:jc w:val="both"/>
      </w:pPr>
      <w:r>
        <w:rPr>
          <w:rFonts w:ascii="Times New Roman" w:hAnsi="Times New Roman" w:eastAsia="宋体"/>
          <w:rFonts w:ascii="Times New Roman" w:hAnsi="Times New Roman"/>
          <w:b w:val="0"/>
          <w:sz w:val="24"/>
        </w:rPr>
        <w:t>辅助方法包括：典型案例解剖法——选取肺结节AI检测和糖尿病视网膜病变AI筛查两个成熟场景进行纵向深描；横向比较法——对比不同AI诊断系统在相同任务上的性能差距及其成因。</w:t>
      </w:r>
    </w:p>
    <w:p>
      <w:pPr>
        <w:spacing w:line="360" w:lineRule="auto" w:before="240" w:after="120"/>
      </w:pPr>
      <w:r>
        <w:rPr>
          <w:rFonts w:ascii="Times New Roman" w:hAnsi="Times New Roman" w:eastAsia="黑体"/>
          <w:rFonts w:ascii="Times New Roman" w:hAnsi="Times New Roman"/>
          <w:b/>
          <w:sz w:val="28"/>
        </w:rPr>
        <w:t>3.3 数据来源</w:t>
      </w:r>
    </w:p>
    <w:p>
      <w:pPr>
        <w:spacing w:line="360" w:lineRule="auto" w:before="0" w:after="0"/>
        <w:ind w:firstLine="480"/>
        <w:jc w:val="both"/>
      </w:pPr>
      <w:r>
        <w:rPr>
          <w:rFonts w:ascii="Times New Roman" w:hAnsi="Times New Roman" w:eastAsia="宋体"/>
          <w:rFonts w:ascii="Times New Roman" w:hAnsi="Times New Roman"/>
          <w:b w:val="0"/>
          <w:sz w:val="24"/>
        </w:rPr>
        <w:t>除学术数据库外，本文还采信了NMPA和FDA公示的AI医疗器械审批信息，以及部分AI诊断企业的公开技术白皮书。多源数据的交叉印证，有助于褪去论文中的"滤镜"，逼近技术落地的真实面貌。</w:t>
      </w:r>
    </w:p>
    <w:p>
      <w:pPr>
        <w:spacing w:line="120" w:lineRule="auto"/>
      </w:pPr>
    </w:p>
    <w:p>
      <w:pPr>
        <w:spacing w:line="360" w:lineRule="auto" w:before="240" w:after="120"/>
      </w:pPr>
      <w:r>
        <w:rPr>
          <w:rFonts w:ascii="Times New Roman" w:hAnsi="Times New Roman" w:eastAsia="黑体"/>
          <w:rFonts w:ascii="Times New Roman" w:hAnsi="Times New Roman"/>
          <w:b/>
          <w:sz w:val="32"/>
        </w:rPr>
        <w:t>四、AI医疗诊断的应用现状分析</w:t>
      </w:r>
    </w:p>
    <w:p>
      <w:pPr>
        <w:spacing w:line="360" w:lineRule="auto" w:before="240" w:after="120"/>
      </w:pPr>
      <w:r>
        <w:rPr>
          <w:rFonts w:ascii="Times New Roman" w:hAnsi="Times New Roman" w:eastAsia="黑体"/>
          <w:rFonts w:ascii="Times New Roman" w:hAnsi="Times New Roman"/>
          <w:b/>
          <w:sz w:val="28"/>
        </w:rPr>
        <w:t>4.1 医学影像诊断：AI最成熟的主战场</w:t>
      </w:r>
    </w:p>
    <w:p>
      <w:pPr>
        <w:spacing w:line="360" w:lineRule="auto" w:before="0" w:after="0"/>
        <w:ind w:firstLine="480"/>
        <w:jc w:val="both"/>
      </w:pPr>
      <w:r>
        <w:rPr>
          <w:rFonts w:ascii="Times New Roman" w:hAnsi="Times New Roman" w:eastAsia="宋体"/>
          <w:rFonts w:ascii="Times New Roman" w:hAnsi="Times New Roman"/>
          <w:b w:val="0"/>
          <w:sz w:val="24"/>
        </w:rPr>
        <w:t>医学影像天然适合深度学习。像素化的数据结构、相对统一的成像协议和日益累积的海量数据，为CNN的训练提供了理想土壤。</w:t>
      </w:r>
    </w:p>
    <w:p>
      <w:pPr>
        <w:spacing w:line="360" w:lineRule="auto" w:before="0" w:after="0"/>
        <w:ind w:firstLine="480"/>
        <w:jc w:val="both"/>
      </w:pPr>
      <w:r>
        <w:rPr>
          <w:rFonts w:ascii="Times New Roman" w:hAnsi="Times New Roman" w:eastAsia="宋体"/>
          <w:rFonts w:ascii="Times New Roman" w:hAnsi="Times New Roman"/>
          <w:b w:val="0"/>
          <w:sz w:val="24"/>
        </w:rPr>
        <w:t>肺结节检测是AI影像诊断的标杆案例。回顾性研究反复确认：AI辅助可将肺结节漏诊率压低30%以上，阅片耗时减少约40%。但外推至真实临床环境的证据仍然有限。2019年的一项前瞻性研究显示，AI独立筛查的假阳性率高达每例1.2个——这意味着，每筛查100例，AI会多报120个"可疑结节"，而这些假阳性最终都需要医生逐一排查。</w:t>
      </w:r>
    </w:p>
    <w:p>
      <w:pPr>
        <w:spacing w:line="360" w:lineRule="auto" w:before="0" w:after="0"/>
        <w:ind w:firstLine="480"/>
        <w:jc w:val="both"/>
      </w:pPr>
      <w:r>
        <w:rPr>
          <w:rFonts w:ascii="Times New Roman" w:hAnsi="Times New Roman" w:eastAsia="宋体"/>
          <w:rFonts w:ascii="Times New Roman" w:hAnsi="Times New Roman"/>
          <w:b w:val="0"/>
          <w:sz w:val="24"/>
        </w:rPr>
        <w:t>乳腺癌筛查是另一个AI高渗透场景。尤其对于致密型乳腺女性，钼靶X线检查的敏感性本就不足，AI在微钙化灶和非肿块型病变的检测上体现出了独特价值。不过，AI模型在种族和地区间存在明显的性能偏差——在以欧美白人女性为主的训练集上优化出来的模型，直接部署到亚洲人群时，灵敏度和特异性均出现显著下降。</w:t>
      </w:r>
    </w:p>
    <w:p>
      <w:pPr>
        <w:spacing w:line="360" w:lineRule="auto" w:before="0" w:after="0"/>
        <w:ind w:firstLine="480"/>
        <w:jc w:val="both"/>
      </w:pPr>
      <w:r>
        <w:rPr>
          <w:rFonts w:ascii="Times New Roman" w:hAnsi="Times New Roman" w:eastAsia="宋体"/>
          <w:rFonts w:ascii="Times New Roman" w:hAnsi="Times New Roman"/>
          <w:b w:val="0"/>
          <w:sz w:val="24"/>
        </w:rPr>
        <w:t>眼底病变筛查可能是AI影像诊断中最接近"独立上岗"的领域。IDx-DR是全球首款获得FDA批准的自主AI诊断设备，可在无医生参与的情况下对糖尿病视网膜病变做出筛查判断。但该产品的局限同样明显：它只能回答"是否有中度以上DR"，对鉴别诊断无能为力。</w:t>
      </w:r>
    </w:p>
    <w:p>
      <w:pPr>
        <w:spacing w:line="360" w:lineRule="auto" w:before="240" w:after="120"/>
      </w:pPr>
      <w:r>
        <w:rPr>
          <w:rFonts w:ascii="Times New Roman" w:hAnsi="Times New Roman" w:eastAsia="黑体"/>
          <w:rFonts w:ascii="Times New Roman" w:hAnsi="Times New Roman"/>
          <w:b/>
          <w:sz w:val="28"/>
        </w:rPr>
        <w:t>4.2 病理分析：数字化的下一站</w:t>
      </w:r>
    </w:p>
    <w:p>
      <w:pPr>
        <w:spacing w:line="360" w:lineRule="auto" w:before="0" w:after="0"/>
        <w:ind w:firstLine="480"/>
        <w:jc w:val="both"/>
      </w:pPr>
      <w:r>
        <w:rPr>
          <w:rFonts w:ascii="Times New Roman" w:hAnsi="Times New Roman" w:eastAsia="宋体"/>
          <w:rFonts w:ascii="Times New Roman" w:hAnsi="Times New Roman"/>
          <w:b w:val="0"/>
          <w:sz w:val="24"/>
        </w:rPr>
        <w:t>全切片图像（WSI）扫描技术让病理AI具备了数据基础。一张典型的WSI可达10亿像素，超越了任何人眼在有限时间内能够穷尽检视的范围。AI在此的优势不是"比病理医生看得更准"，而是"不会遗漏任何区域"。</w:t>
      </w:r>
    </w:p>
    <w:p>
      <w:pPr>
        <w:spacing w:line="360" w:lineRule="auto" w:before="0" w:after="0"/>
        <w:ind w:firstLine="480"/>
        <w:jc w:val="both"/>
      </w:pPr>
      <w:r>
        <w:rPr>
          <w:rFonts w:ascii="Times New Roman" w:hAnsi="Times New Roman" w:eastAsia="宋体"/>
          <w:rFonts w:ascii="Times New Roman" w:hAnsi="Times New Roman"/>
          <w:b w:val="0"/>
          <w:sz w:val="24"/>
        </w:rPr>
        <w:t>在肿瘤病理分期中，AI可以自动量化浸润深度、评估淋巴结微转移和判读切缘状态，将定性经验转化为定量指标。更令人兴奋的前景在肿瘤微环境分析：AI能够自动计数和空间定位肿瘤浸润淋巴细胞（TILs），这直接关系到免疫检查点抑制剂的疗效预测。罗氏和PathAI等企业已在该方向深度布局。</w:t>
      </w:r>
    </w:p>
    <w:p>
      <w:pPr>
        <w:spacing w:line="360" w:lineRule="auto" w:before="0" w:after="0"/>
        <w:ind w:firstLine="480"/>
        <w:jc w:val="both"/>
      </w:pPr>
      <w:r>
        <w:rPr>
          <w:rFonts w:ascii="Times New Roman" w:hAnsi="Times New Roman" w:eastAsia="宋体"/>
          <w:rFonts w:ascii="Times New Roman" w:hAnsi="Times New Roman"/>
          <w:b w:val="0"/>
          <w:sz w:val="24"/>
        </w:rPr>
        <w:t>然而，病理AI的商业化进程比影像AI更缓慢。原因不在算法，而在基础设施——多数中国医院尚未实现病理全流程数字化，玻璃切片显微镜仍是主流工作模式。没有数字化的"原材料"，再好的AI算法也无用武之地。</w:t>
      </w:r>
    </w:p>
    <w:p>
      <w:pPr>
        <w:spacing w:line="360" w:lineRule="auto" w:before="240" w:after="120"/>
      </w:pPr>
      <w:r>
        <w:rPr>
          <w:rFonts w:ascii="Times New Roman" w:hAnsi="Times New Roman" w:eastAsia="黑体"/>
          <w:rFonts w:ascii="Times New Roman" w:hAnsi="Times New Roman"/>
          <w:b/>
          <w:sz w:val="28"/>
        </w:rPr>
        <w:t>4.3 临床决策支持：理想丰满，现实骨感</w:t>
      </w:r>
    </w:p>
    <w:p>
      <w:pPr>
        <w:spacing w:line="360" w:lineRule="auto" w:before="0" w:after="0"/>
        <w:ind w:firstLine="480"/>
        <w:jc w:val="both"/>
      </w:pPr>
      <w:r>
        <w:rPr>
          <w:rFonts w:ascii="Times New Roman" w:hAnsi="Times New Roman" w:eastAsia="宋体"/>
          <w:rFonts w:ascii="Times New Roman" w:hAnsi="Times New Roman"/>
          <w:b w:val="0"/>
          <w:sz w:val="24"/>
        </w:rPr>
        <w:t>大型语言模型（LLM）的崛起让"AI看诊"突然从科幻走进了现实。在标准化病例测试中，GPT-4等模型能够根据主诉生成有理有据的鉴别诊断列表，甚至在某些考试中超越了初级住院医师的表现。</w:t>
      </w:r>
    </w:p>
    <w:p>
      <w:pPr>
        <w:spacing w:line="360" w:lineRule="auto" w:before="0" w:after="0"/>
        <w:ind w:firstLine="480"/>
        <w:jc w:val="both"/>
      </w:pPr>
      <w:r>
        <w:rPr>
          <w:rFonts w:ascii="Times New Roman" w:hAnsi="Times New Roman" w:eastAsia="宋体"/>
          <w:rFonts w:ascii="Times New Roman" w:hAnsi="Times New Roman"/>
          <w:b w:val="0"/>
          <w:sz w:val="24"/>
        </w:rPr>
        <w:t>但这离真正的临床可用还有相当距离。最大的鸿沟在于：LLM的训练语料来自公开互联网和医学文献，而真实诊疗中的关键信息——患者的非语言表达、社会心理因素、家庭支持状况——不在其中。此外，LLM倾向于生成流畅但可能虚构的医学建议（"幻觉"问题），在医疗场景中这可能造成无法挽回的后果。</w:t>
      </w:r>
    </w:p>
    <w:p>
      <w:pPr>
        <w:spacing w:line="360" w:lineRule="auto" w:before="0" w:after="0"/>
        <w:ind w:firstLine="480"/>
        <w:jc w:val="both"/>
      </w:pPr>
      <w:r>
        <w:rPr>
          <w:rFonts w:ascii="Times New Roman" w:hAnsi="Times New Roman" w:eastAsia="宋体"/>
          <w:rFonts w:ascii="Times New Roman" w:hAnsi="Times New Roman"/>
          <w:b w:val="0"/>
          <w:sz w:val="24"/>
        </w:rPr>
        <w:t>一个更务实的路径是将LLM定位为"智能病历助手"而非"独立诊断师"：自动整理患者主诉、生成结构化预问诊报告、从海量文献中检索相关临床指南。这种定位降低了风险，同时解决了医生"写病历比看病还费时间"的实际痛点。</w:t>
      </w:r>
    </w:p>
    <w:p>
      <w:pPr>
        <w:spacing w:line="120" w:lineRule="auto"/>
      </w:pPr>
    </w:p>
    <w:p>
      <w:pPr>
        <w:spacing w:line="360" w:lineRule="auto" w:before="240" w:after="120"/>
      </w:pPr>
      <w:r>
        <w:rPr>
          <w:rFonts w:ascii="Times New Roman" w:hAnsi="Times New Roman" w:eastAsia="黑体"/>
          <w:rFonts w:ascii="Times New Roman" w:hAnsi="Times New Roman"/>
          <w:b/>
          <w:sz w:val="32"/>
        </w:rPr>
        <w:t>五、核心挑战与优化策略</w:t>
      </w:r>
    </w:p>
    <w:p>
      <w:pPr>
        <w:spacing w:line="360" w:lineRule="auto" w:before="240" w:after="120"/>
      </w:pPr>
      <w:r>
        <w:rPr>
          <w:rFonts w:ascii="Times New Roman" w:hAnsi="Times New Roman" w:eastAsia="黑体"/>
          <w:rFonts w:ascii="Times New Roman" w:hAnsi="Times New Roman"/>
          <w:b/>
          <w:sz w:val="28"/>
        </w:rPr>
        <w:t>5.1 数据困境：标注、偏差与孤岛</w:t>
      </w:r>
    </w:p>
    <w:p>
      <w:pPr>
        <w:spacing w:line="360" w:lineRule="auto" w:before="0" w:after="0"/>
        <w:ind w:firstLine="480"/>
        <w:jc w:val="both"/>
      </w:pPr>
      <w:r>
        <w:rPr>
          <w:rFonts w:ascii="Times New Roman" w:hAnsi="Times New Roman" w:eastAsia="宋体"/>
          <w:rFonts w:ascii="Times New Roman" w:hAnsi="Times New Roman"/>
          <w:b w:val="0"/>
          <w:sz w:val="24"/>
        </w:rPr>
        <w:t>数据问题是AI诊断的全部瓶颈中最根本的一条。三个子问题相互缠绕。</w:t>
      </w:r>
    </w:p>
    <w:p>
      <w:pPr>
        <w:spacing w:line="360" w:lineRule="auto" w:before="0" w:after="0"/>
        <w:ind w:firstLine="480"/>
        <w:jc w:val="both"/>
      </w:pPr>
      <w:r>
        <w:rPr>
          <w:rFonts w:ascii="Times New Roman" w:hAnsi="Times New Roman" w:eastAsia="宋体"/>
          <w:rFonts w:ascii="Times New Roman" w:hAnsi="Times New Roman"/>
          <w:b w:val="0"/>
          <w:sz w:val="24"/>
        </w:rPr>
        <w:t>标注一致性问题。同一张CT，放射科A标注"可疑结节4mm"，放射科B可能认为"不构成报告门槛"。这种分歧在边界模糊的早期病变中尤其突出。用存在分歧的标签训练模型，得到的必然是摇摆不定的预测。多专家共识标注和严格的质量控制体系是破局之道，但这意味着更高的标注成本和更长的研发周期。</w:t>
      </w:r>
    </w:p>
    <w:p>
      <w:pPr>
        <w:spacing w:line="360" w:lineRule="auto" w:before="0" w:after="0"/>
        <w:ind w:firstLine="480"/>
        <w:jc w:val="both"/>
      </w:pPr>
      <w:r>
        <w:rPr>
          <w:rFonts w:ascii="Times New Roman" w:hAnsi="Times New Roman" w:eastAsia="宋体"/>
          <w:rFonts w:ascii="Times New Roman" w:hAnsi="Times New Roman"/>
          <w:b w:val="0"/>
          <w:sz w:val="24"/>
        </w:rPr>
        <w:t>数据偏差问题。训练集中肺结节患者以50岁以上男性为主，模型在30岁女性中的表现大打折扣——这样的案例不胜枚举。偏差不仅来自人口统计学维度（年龄、性别、种族），还来自设备维度和阅片习惯。某一型号的CT机出产的影像特征，可能被模型当作诊断依据来"学习"。</w:t>
      </w:r>
    </w:p>
    <w:p>
      <w:pPr>
        <w:spacing w:line="360" w:lineRule="auto" w:before="0" w:after="0"/>
        <w:ind w:firstLine="480"/>
        <w:jc w:val="both"/>
      </w:pPr>
      <w:r>
        <w:rPr>
          <w:rFonts w:ascii="Times New Roman" w:hAnsi="Times New Roman" w:eastAsia="宋体"/>
          <w:rFonts w:ascii="Times New Roman" w:hAnsi="Times New Roman"/>
          <w:b w:val="0"/>
          <w:sz w:val="24"/>
        </w:rPr>
        <w:t>数据孤岛问题。医疗数据的隐私敏感性决定了它无法像互联网数据那样自由流动。联邦学习提供了一种"数据不动模型动"的替代方案——各医院在本地训练，仅共享梯度更新而非原始数据。但联邦学习在非独立同分布数据面前的收敛性问题，仍是活跃的研究课题。</w:t>
      </w:r>
    </w:p>
    <w:p>
      <w:pPr>
        <w:spacing w:line="360" w:lineRule="auto" w:before="240" w:after="120"/>
      </w:pPr>
      <w:r>
        <w:rPr>
          <w:rFonts w:ascii="Times New Roman" w:hAnsi="Times New Roman" w:eastAsia="黑体"/>
          <w:rFonts w:ascii="Times New Roman" w:hAnsi="Times New Roman"/>
          <w:b/>
          <w:sz w:val="28"/>
        </w:rPr>
        <w:t>5.2 可解释性：说服医生，而非取悦工程师</w:t>
      </w:r>
    </w:p>
    <w:p>
      <w:pPr>
        <w:spacing w:line="360" w:lineRule="auto" w:before="0" w:after="0"/>
        <w:ind w:firstLine="480"/>
        <w:jc w:val="both"/>
      </w:pPr>
      <w:r>
        <w:rPr>
          <w:rFonts w:ascii="Times New Roman" w:hAnsi="Times New Roman" w:eastAsia="宋体"/>
          <w:rFonts w:ascii="Times New Roman" w:hAnsi="Times New Roman"/>
          <w:b w:val="0"/>
          <w:sz w:val="24"/>
        </w:rPr>
        <w:t>一个ResNet-152告诉放射科医生"这片CT里有肺结节，置信度93%"。医生问："在哪？为什么？"模型沉默。这就是当前AI诊断在临床遭遇的真实写照。</w:t>
      </w:r>
    </w:p>
    <w:p>
      <w:pPr>
        <w:spacing w:line="360" w:lineRule="auto" w:before="0" w:after="0"/>
        <w:ind w:firstLine="480"/>
        <w:jc w:val="both"/>
      </w:pPr>
      <w:r>
        <w:rPr>
          <w:rFonts w:ascii="Times New Roman" w:hAnsi="Times New Roman" w:eastAsia="宋体"/>
          <w:rFonts w:ascii="Times New Roman" w:hAnsi="Times New Roman"/>
          <w:b w:val="0"/>
          <w:sz w:val="24"/>
        </w:rPr>
        <w:t>Grad-CAM和SHAP等事后解释方法试图用热力图和特征归因来填补这个空白。热力图标注出模型"关注"的区域——如果这片区域恰好是医生怀疑的位置，信心增强；但如果热力图落在显然无关的解剖结构上，医生的信任瞬间崩塌。</w:t>
      </w:r>
    </w:p>
    <w:p>
      <w:pPr>
        <w:spacing w:line="360" w:lineRule="auto" w:before="0" w:after="0"/>
        <w:ind w:firstLine="480"/>
        <w:jc w:val="both"/>
      </w:pPr>
      <w:r>
        <w:rPr>
          <w:rFonts w:ascii="Times New Roman" w:hAnsi="Times New Roman" w:eastAsia="宋体"/>
          <w:rFonts w:ascii="Times New Roman" w:hAnsi="Times New Roman"/>
          <w:b w:val="0"/>
          <w:sz w:val="24"/>
        </w:rPr>
        <w:t>更根本的路径是因果解释。它要求模型不仅回答"是什么"，还要回答"因为什么"。在医学语境中，这意味着将影像特征与病理生理机制关联起来——"这个区域的纹理异常，可能与间质纤维化的病理过程有关"。这种因果级解释对医生的说服力远超任何热力图。</w:t>
      </w:r>
    </w:p>
    <w:p>
      <w:pPr>
        <w:spacing w:line="360" w:lineRule="auto" w:before="0" w:after="0"/>
        <w:ind w:firstLine="480"/>
        <w:jc w:val="both"/>
      </w:pPr>
      <w:r>
        <w:rPr>
          <w:rFonts w:ascii="Times New Roman" w:hAnsi="Times New Roman" w:eastAsia="宋体"/>
          <w:rFonts w:ascii="Times New Roman" w:hAnsi="Times New Roman"/>
          <w:b w:val="0"/>
          <w:sz w:val="24"/>
        </w:rPr>
        <w:t>从产品设计角度看，解释不应是事后附加的"补丁"，而应内嵌于诊断流程中。在AI与医生意见不一致的病例上，系统应主动标注分歧点并给出证据链，引导医生关注可能被忽视的区域。这才是有临床价值的"可解释"。</w:t>
      </w:r>
    </w:p>
    <w:p>
      <w:pPr>
        <w:spacing w:line="360" w:lineRule="auto" w:before="240" w:after="120"/>
      </w:pPr>
      <w:r>
        <w:rPr>
          <w:rFonts w:ascii="Times New Roman" w:hAnsi="Times New Roman" w:eastAsia="黑体"/>
          <w:rFonts w:ascii="Times New Roman" w:hAnsi="Times New Roman"/>
          <w:b/>
          <w:sz w:val="28"/>
        </w:rPr>
        <w:t>5.3 临床验证与监管：从回眸到前瞻</w:t>
      </w:r>
    </w:p>
    <w:p>
      <w:pPr>
        <w:spacing w:line="360" w:lineRule="auto" w:before="0" w:after="0"/>
        <w:ind w:firstLine="480"/>
        <w:jc w:val="both"/>
      </w:pPr>
      <w:r>
        <w:rPr>
          <w:rFonts w:ascii="Times New Roman" w:hAnsi="Times New Roman" w:eastAsia="宋体"/>
          <w:rFonts w:ascii="Times New Roman" w:hAnsi="Times New Roman"/>
          <w:b w:val="0"/>
          <w:sz w:val="24"/>
        </w:rPr>
        <w:t>AI诊断产品作为一种医疗器械，理应在上市前经受严格的临床验证。但现实是，绝大多数产品的获批基于回顾性数据集上的性能指标——灵敏度和特异性。</w:t>
      </w:r>
    </w:p>
    <w:p>
      <w:pPr>
        <w:spacing w:line="360" w:lineRule="auto" w:before="0" w:after="0"/>
        <w:ind w:firstLine="480"/>
        <w:jc w:val="both"/>
      </w:pPr>
      <w:r>
        <w:rPr>
          <w:rFonts w:ascii="Times New Roman" w:hAnsi="Times New Roman" w:eastAsia="宋体"/>
          <w:rFonts w:ascii="Times New Roman" w:hAnsi="Times New Roman"/>
          <w:b w:val="0"/>
          <w:sz w:val="24"/>
        </w:rPr>
        <w:t>回顾性证据是必要的起点，但远非充分。它无法回答一个关键问题：当AI系统嵌入真实的临床工作流后，医生的诊断准确率是否真的提高了？患者是否真正受益？在少数已经完成的前瞻性研究中，答案并不总是肯定的。一项针对乳腺钼靶AI辅助筛查的多中心随机对照试验发现，AI辅助组的召回率下降了，但癌症检出率并未显著改善——这意味着AI减少的可能是不需要召回的"假阳性"，而非漏诊。</w:t>
      </w:r>
    </w:p>
    <w:p>
      <w:pPr>
        <w:spacing w:line="360" w:lineRule="auto" w:before="0" w:after="0"/>
        <w:ind w:firstLine="480"/>
        <w:jc w:val="both"/>
      </w:pPr>
      <w:r>
        <w:rPr>
          <w:rFonts w:ascii="Times New Roman" w:hAnsi="Times New Roman" w:eastAsia="宋体"/>
          <w:rFonts w:ascii="Times New Roman" w:hAnsi="Times New Roman"/>
          <w:b w:val="0"/>
          <w:sz w:val="24"/>
        </w:rPr>
        <w:t>监管端同样面临范式转型的阵痛。传统的医疗器械审评体系基于一个隐含假设：产品出厂后功能固定。但AI诊断系统——尤其是具备在线学习能力的系统——在使用过程中会持续演化。产品的"版本"变得模糊，"上市后监管"的内涵和外延需要重新定义。NMPA和FDA近年来的审评实践释放了积极信号，但距离建立清晰的、可预期的常态化审评路径，仍有长路要走。</w:t>
      </w:r>
    </w:p>
    <w:p>
      <w:pPr>
        <w:spacing w:line="360" w:lineRule="auto" w:before="240" w:after="120"/>
      </w:pPr>
      <w:r>
        <w:rPr>
          <w:rFonts w:ascii="Times New Roman" w:hAnsi="Times New Roman" w:eastAsia="黑体"/>
          <w:rFonts w:ascii="Times New Roman" w:hAnsi="Times New Roman"/>
          <w:b/>
          <w:sz w:val="28"/>
        </w:rPr>
        <w:t>5.4 人机协同：阶梯式的混合诊断模式</w:t>
      </w:r>
    </w:p>
    <w:p>
      <w:pPr>
        <w:spacing w:line="360" w:lineRule="auto" w:before="0" w:after="0"/>
        <w:ind w:firstLine="480"/>
        <w:jc w:val="both"/>
      </w:pPr>
      <w:r>
        <w:rPr>
          <w:rFonts w:ascii="Times New Roman" w:hAnsi="Times New Roman" w:eastAsia="宋体"/>
          <w:rFonts w:ascii="Times New Roman" w:hAnsi="Times New Roman"/>
          <w:b w:val="0"/>
          <w:sz w:val="24"/>
        </w:rPr>
        <w:t>综合以上分析，本文主张采用阶梯式人机协同架构，而非简单地将AI输出交给医生"参考"。</w:t>
      </w:r>
    </w:p>
    <w:p>
      <w:pPr>
        <w:spacing w:line="360" w:lineRule="auto" w:before="0" w:after="0"/>
        <w:ind w:firstLine="480"/>
        <w:jc w:val="both"/>
      </w:pPr>
      <w:r>
        <w:rPr>
          <w:rFonts w:ascii="Times New Roman" w:hAnsi="Times New Roman" w:eastAsia="宋体"/>
          <w:rFonts w:ascii="Times New Roman" w:hAnsi="Times New Roman"/>
          <w:b w:val="0"/>
          <w:sz w:val="24"/>
        </w:rPr>
        <w:t>第一阶梯——高通量筛查。对于已获充分验证、风险可控的标准化筛查任务（如糖尿病视网膜病变初筛、骨龄评估），AI可独立完成初步判断并出具结构化报告。医生做抽样审核和质量监督，而非逐例复核。</w:t>
      </w:r>
    </w:p>
    <w:p>
      <w:pPr>
        <w:spacing w:line="360" w:lineRule="auto" w:before="0" w:after="0"/>
        <w:ind w:firstLine="480"/>
        <w:jc w:val="both"/>
      </w:pPr>
      <w:r>
        <w:rPr>
          <w:rFonts w:ascii="Times New Roman" w:hAnsi="Times New Roman" w:eastAsia="宋体"/>
          <w:rFonts w:ascii="Times New Roman" w:hAnsi="Times New Roman"/>
          <w:b w:val="0"/>
          <w:sz w:val="24"/>
        </w:rPr>
        <w:t>第二阶梯——辅助增强。对于中等复杂度的诊断任务（如肺结节风险分层、乳腺病变BI-RADS分类），AI提供定量分析、相似病例检索和证据支持，医生负责最终决策。此时AI扮演的是"超级住院医师"的角色——准备资料、提示异常、但不越俎代庖。</w:t>
      </w:r>
    </w:p>
    <w:p>
      <w:pPr>
        <w:spacing w:line="360" w:lineRule="auto" w:before="0" w:after="0"/>
        <w:ind w:firstLine="480"/>
        <w:jc w:val="both"/>
      </w:pPr>
      <w:r>
        <w:rPr>
          <w:rFonts w:ascii="Times New Roman" w:hAnsi="Times New Roman" w:eastAsia="宋体"/>
          <w:rFonts w:ascii="Times New Roman" w:hAnsi="Times New Roman"/>
          <w:b w:val="0"/>
          <w:sz w:val="24"/>
        </w:rPr>
        <w:t>第三阶梯——疑难会诊。对于罕见病、疑难复杂病例和多学科交叉的诊断任务，AI退居信息检索和知识发现的位置，核心诊断决策由多学科团队（MDT）完成。AI的价值体现在即时检索相关文献、整理患者全病程数据和可视化展示病情演进。</w:t>
      </w:r>
    </w:p>
    <w:p>
      <w:pPr>
        <w:spacing w:line="360" w:lineRule="auto" w:before="0" w:after="0"/>
        <w:ind w:firstLine="480"/>
        <w:jc w:val="both"/>
      </w:pPr>
      <w:r>
        <w:rPr>
          <w:rFonts w:ascii="Times New Roman" w:hAnsi="Times New Roman" w:eastAsia="宋体"/>
          <w:rFonts w:ascii="Times New Roman" w:hAnsi="Times New Roman"/>
          <w:b w:val="0"/>
          <w:sz w:val="24"/>
        </w:rPr>
        <w:t>这一阶梯式架构的核心设计理念是：不是让AI替代医生，而是使每个层级的医生都获得与其任务难度匹配的AI支持。风险越高的决策场景，人类医生的掌控权越大；标准化程度越高的场景，AI的自主空间越充分。</w:t>
      </w:r>
    </w:p>
    <w:p>
      <w:pPr>
        <w:spacing w:line="120" w:lineRule="auto"/>
      </w:pPr>
    </w:p>
    <w:p>
      <w:pPr>
        <w:spacing w:line="360" w:lineRule="auto" w:before="240" w:after="120"/>
      </w:pPr>
      <w:r>
        <w:rPr>
          <w:rFonts w:ascii="Times New Roman" w:hAnsi="Times New Roman" w:eastAsia="黑体"/>
          <w:rFonts w:ascii="Times New Roman" w:hAnsi="Times New Roman"/>
          <w:b/>
          <w:sz w:val="32"/>
        </w:rPr>
        <w:t>六、结论与展望</w:t>
      </w:r>
    </w:p>
    <w:p>
      <w:pPr>
        <w:spacing w:line="360" w:lineRule="auto" w:before="240" w:after="120"/>
      </w:pPr>
      <w:r>
        <w:rPr>
          <w:rFonts w:ascii="Times New Roman" w:hAnsi="Times New Roman" w:eastAsia="黑体"/>
          <w:rFonts w:ascii="Times New Roman" w:hAnsi="Times New Roman"/>
          <w:b/>
          <w:sz w:val="28"/>
        </w:rPr>
        <w:t>6.1 研究结论</w:t>
      </w:r>
    </w:p>
    <w:p>
      <w:pPr>
        <w:spacing w:line="360" w:lineRule="auto" w:before="0" w:after="0"/>
        <w:ind w:firstLine="480"/>
        <w:jc w:val="both"/>
      </w:pPr>
      <w:r>
        <w:rPr>
          <w:rFonts w:ascii="Times New Roman" w:hAnsi="Times New Roman" w:eastAsia="宋体"/>
          <w:rFonts w:ascii="Times New Roman" w:hAnsi="Times New Roman"/>
          <w:b w:val="0"/>
          <w:sz w:val="24"/>
        </w:rPr>
        <w:t>本文的结论可归结为三句话。</w:t>
      </w:r>
    </w:p>
    <w:p>
      <w:pPr>
        <w:spacing w:line="360" w:lineRule="auto" w:before="0" w:after="0"/>
        <w:ind w:firstLine="480"/>
        <w:jc w:val="both"/>
      </w:pPr>
      <w:r>
        <w:rPr>
          <w:rFonts w:ascii="Times New Roman" w:hAnsi="Times New Roman" w:eastAsia="宋体"/>
          <w:rFonts w:ascii="Times New Roman" w:hAnsi="Times New Roman"/>
          <w:b w:val="0"/>
          <w:sz w:val="24"/>
        </w:rPr>
        <w:t>AI在医疗诊断中已不满足于"概念验证"，尤其在影像领域，一批产品已穿越从论文到注册证的鸿沟。这是第一句。</w:t>
      </w:r>
    </w:p>
    <w:p>
      <w:pPr>
        <w:spacing w:line="360" w:lineRule="auto" w:before="0" w:after="0"/>
        <w:ind w:firstLine="480"/>
        <w:jc w:val="both"/>
      </w:pPr>
      <w:r>
        <w:rPr>
          <w:rFonts w:ascii="Times New Roman" w:hAnsi="Times New Roman" w:eastAsia="宋体"/>
          <w:rFonts w:ascii="Times New Roman" w:hAnsi="Times New Roman"/>
          <w:b w:val="0"/>
          <w:sz w:val="24"/>
        </w:rPr>
        <w:t>但落地之路远非坦途。数据偏差、黑箱困境和临床证据的不足，构成了从实验室到诊室之间的三道关卡。这些问题的本质不是算法不够好，而是我们对医疗AI的评估范式尚未完成从"技术驱动"到"临床驱动"的转型。这是第二句。</w:t>
      </w:r>
    </w:p>
    <w:p>
      <w:pPr>
        <w:spacing w:line="360" w:lineRule="auto" w:before="0" w:after="0"/>
        <w:ind w:firstLine="480"/>
        <w:jc w:val="both"/>
      </w:pPr>
      <w:r>
        <w:rPr>
          <w:rFonts w:ascii="Times New Roman" w:hAnsi="Times New Roman" w:eastAsia="宋体"/>
          <w:rFonts w:ascii="Times New Roman" w:hAnsi="Times New Roman"/>
          <w:b w:val="0"/>
          <w:sz w:val="24"/>
        </w:rPr>
        <w:t>人机协同的阶梯式混合模式，给出了一个务实的中间方案：AI不是医生的替代品，也不是可有可无的装饰；它是一层按风险分级适配的"智能滤网"，让医生有限的注意力聚焦于真正需要人类判断的地方。这是第三句。</w:t>
      </w:r>
    </w:p>
    <w:p>
      <w:pPr>
        <w:spacing w:line="360" w:lineRule="auto" w:before="240" w:after="120"/>
      </w:pPr>
      <w:r>
        <w:rPr>
          <w:rFonts w:ascii="Times New Roman" w:hAnsi="Times New Roman" w:eastAsia="黑体"/>
          <w:rFonts w:ascii="Times New Roman" w:hAnsi="Times New Roman"/>
          <w:b/>
          <w:sz w:val="28"/>
        </w:rPr>
        <w:t>6.2 研究局限</w:t>
      </w:r>
    </w:p>
    <w:p>
      <w:pPr>
        <w:spacing w:line="360" w:lineRule="auto" w:before="0" w:after="0"/>
        <w:ind w:firstLine="480"/>
        <w:jc w:val="both"/>
      </w:pPr>
      <w:r>
        <w:rPr>
          <w:rFonts w:ascii="Times New Roman" w:hAnsi="Times New Roman" w:eastAsia="宋体"/>
          <w:rFonts w:ascii="Times New Roman" w:hAnsi="Times New Roman"/>
          <w:b w:val="0"/>
          <w:sz w:val="24"/>
        </w:rPr>
        <w:t>本文的分析主要依托文献综述和公开信息，缺乏第一手实证数据的支撑。此外，AI诊断技术迭代极快——大语言模型、多模态基础模型和Agent框架等新范式的涌现，可能在本文定稿之时就已在某些细分方向刷新了技术基准。由于CNKI数据接口的访问限制，部分文献的元数据（作者、发表年份、期刊名称）未能完全补全，这是本文方法论层面的一个不足。</w:t>
      </w:r>
    </w:p>
    <w:p>
      <w:pPr>
        <w:spacing w:line="360" w:lineRule="auto" w:before="240" w:after="120"/>
      </w:pPr>
      <w:r>
        <w:rPr>
          <w:rFonts w:ascii="Times New Roman" w:hAnsi="Times New Roman" w:eastAsia="黑体"/>
          <w:rFonts w:ascii="Times New Roman" w:hAnsi="Times New Roman"/>
          <w:b/>
          <w:sz w:val="28"/>
        </w:rPr>
        <w:t>6.3 未来展望</w:t>
      </w:r>
    </w:p>
    <w:p>
      <w:pPr>
        <w:spacing w:line="360" w:lineRule="auto" w:before="0" w:after="0"/>
        <w:ind w:firstLine="480"/>
        <w:jc w:val="both"/>
      </w:pPr>
      <w:r>
        <w:rPr>
          <w:rFonts w:ascii="Times New Roman" w:hAnsi="Times New Roman" w:eastAsia="宋体"/>
          <w:rFonts w:ascii="Times New Roman" w:hAnsi="Times New Roman"/>
          <w:b w:val="0"/>
          <w:sz w:val="24"/>
        </w:rPr>
        <w:t>三个方向值得持续关注。</w:t>
      </w:r>
    </w:p>
    <w:p>
      <w:pPr>
        <w:spacing w:line="360" w:lineRule="auto" w:before="0" w:after="0"/>
        <w:ind w:firstLine="480"/>
        <w:jc w:val="both"/>
      </w:pPr>
      <w:r>
        <w:rPr>
          <w:rFonts w:ascii="Times New Roman" w:hAnsi="Times New Roman" w:eastAsia="宋体"/>
          <w:rFonts w:ascii="Times New Roman" w:hAnsi="Times New Roman"/>
          <w:b w:val="0"/>
          <w:sz w:val="24"/>
        </w:rPr>
        <w:t>多模态基础模型。将影像、病理、基因组和临床文本纳入统一模型架构的趋势已初现端倪。一旦训练基础设施和高质量多模态数据集匹配到位，这种"通才型"的医疗AI或许能打破当前"一个模型一个任务"的碎片化格局。</w:t>
      </w:r>
    </w:p>
    <w:p>
      <w:pPr>
        <w:spacing w:line="360" w:lineRule="auto" w:before="0" w:after="0"/>
        <w:ind w:firstLine="480"/>
        <w:jc w:val="both"/>
      </w:pPr>
      <w:r>
        <w:rPr>
          <w:rFonts w:ascii="Times New Roman" w:hAnsi="Times New Roman" w:eastAsia="宋体"/>
          <w:rFonts w:ascii="Times New Roman" w:hAnsi="Times New Roman"/>
          <w:b w:val="0"/>
          <w:sz w:val="24"/>
        </w:rPr>
        <w:t>前瞻性临床研究。随着更多AI诊断产品获得监管批准，上市后真实世界数据的积累将显著提速。期待未来三年内，在肺结节、乳腺和眼底三大场景中出现有说服力的多中心随机对照研究。</w:t>
      </w:r>
    </w:p>
    <w:p>
      <w:pPr>
        <w:spacing w:line="360" w:lineRule="auto" w:before="0" w:after="0"/>
        <w:ind w:firstLine="480"/>
        <w:jc w:val="both"/>
      </w:pPr>
      <w:r>
        <w:rPr>
          <w:rFonts w:ascii="Times New Roman" w:hAnsi="Times New Roman" w:eastAsia="宋体"/>
          <w:rFonts w:ascii="Times New Roman" w:hAnsi="Times New Roman"/>
          <w:b w:val="0"/>
          <w:sz w:val="24"/>
        </w:rPr>
        <w:t>监管科学。AI诊断产品的全生命周期监管框架仍是一张白纸。如何定义"重大算法更新"？如何平衡上市前审评的效率与严谨？如何在促进创新与保障安全之间划定边界？这些问题的答案将在监管实践和行业博弈中逐渐成形。</w:t>
      </w:r>
    </w:p>
    <w:p>
      <w:pPr>
        <w:spacing w:line="120" w:lineRule="auto"/>
      </w:pPr>
    </w:p>
    <w:p>
      <w:pPr>
        <w:spacing w:line="360" w:lineRule="auto" w:before="240" w:after="120"/>
      </w:pPr>
      <w:r>
        <w:rPr>
          <w:rFonts w:ascii="Times New Roman" w:hAnsi="Times New Roman" w:eastAsia="黑体"/>
          <w:rFonts w:ascii="Times New Roman" w:hAnsi="Times New Roman"/>
          <w:b/>
          <w:sz w:val="32"/>
        </w:rPr>
        <w:t>参考文献</w:t>
      </w:r>
    </w:p>
    <w:p>
      <w:pPr>
        <w:spacing w:line="360" w:lineRule="auto" w:before="0" w:after="0"/>
        <w:ind w:firstLine="480"/>
        <w:jc w:val="both"/>
      </w:pPr>
      <w:r>
        <w:rPr>
          <w:rFonts w:ascii="Times New Roman" w:hAnsi="Times New Roman" w:eastAsia="宋体"/>
          <w:rFonts w:ascii="Times New Roman" w:hAnsi="Times New Roman"/>
          <w:b w:val="0"/>
          <w:sz w:val="24"/>
        </w:rPr>
        <w:t>[1] 人工智能在医疗诊断系统中的应用研究[J]. 知网核心文献, 引用次数: 3354. [链接](https://kns.cnki.net/kcms2/article/abstract?v=sUPs6kfIqsbnecKxd3ghJYSnUeCwl8ou59MGWdstrsIyL9mnNuPi9mXZcnGiU_Cs00rslzpDQJt6AlTrehAN27X3LjK3UN2Zx4MKMnwSWy4N5nzRMFkKnsTuzjhZX6eC0CRCtcL2dUmcq4XPqKrecg2l06k64S0CEr8hrQ4Pe0cb5Twoa3j33gmZLnIEGnet&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[2] 人工智能在医学影像诊断中的应用[J]. 知网核心文献, 引用次数: 2498. [链接](https://kns.cnki.net/kcms2/article/abstract?v=DJp2nd4LPS1Ca9LS2UAQEEs5GLOAmgx3tVZDNw2WD3J7Xgpy_EtIguq0mTLiEe-L0Q6irYNHv2kJa0OaFcbFLlyPLCPPqXbXX2o1iiJ6yk4U0hafWrpRwTMs2CEaA6MTzMwKLMBCEGtDEsTcWE1P-Uiucq7UF-O0nJMsOW-8Vr3szWBJ6ZXC1GOBELuJi8rl&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[3] 人工智能技术在临床医疗诊断中的应用及拓展[J]. 知网核心文献, 引用次数: 2675. [链接](https://kns.cnki.net/kcms2/article/abstract?v=DJp2nd4LPS2doMUUQ_18iG2xIgt8pMCty2LnwbncQXTvcyxeYzuK-45Ptw7pii11v3YPha1AfRi79efyHQwBMJLYy-ZYu6A11-MRwHIRDgR_V37FaXXI6unIMnjQwLIINlPfW3j03MMopG-XNhz_pXQU7khow_dep-P78nTa8zFuhpG8y-sH7HBLlddfB3WS&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[4] 人工智能在医学影像诊断中的研究进展[J]. 知网核心文献, 引用次数: 2867. [链接](https://kns.cnki.net/kcms2/article/abstract?v=DJp2nd4LPS1K4angHiiqz4ROYMFwXsb4fqQFZspMZEO0fKS6-pJOX2FxeStK3wfc6Gw1sexYrKjEilG0MyjT6DGVu2sOD9sahadzJ4MP5L4SHLjJgyaLNJeE9bxKvLJR7jl9FZD466bPwBdgV1m2bC5fBN49Hu0HoqF7PMGuZGfQCurqVLThEcrfjUkCGsJu&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[5] 人工智能技术及其在疾病诊断与医疗中的应用[J]. 知网核心文献. [链接](https://kns.cnki.net/kcms2/article/abstract?v=DJp2nd4LPS1S7u-gQO6OOcUZsOTulsmvgfGtiVdb5_wmNmu3paJbzprX5cQ_RoFty3Ql6Mq98c9pXqOkCBESq7YxCGabGwvgBb43LR3G2RNJ83xccO_kZRkThuRLx48kWT1ZFG1G6BCQEmOCKLhLTNLTZAA0dakNovEUwvheOyF4whZMZUoA0W52BDV2k2En&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[6] 人工智能辅助平台在医学教育中的应用[J]. 知网核心文献. [链接](https://kns.cnki.net/kcms2/article/abstract?v=DJp2nd4LPS10WQwO8lRThHcAx4YOrUnUIFMFhP_IxhXwsz4GrIl5JmnkM9I4-U20JkbyuUfPqOgsPKo01zB7cWMh6_bWiB38cGcBc42LrPNXyygQcSygKX0KYgRqgyc_J0m7zC7XhCpfGk9D-EmVrxJW0O5I5QqfvYcOKT0lTmLMS6mKQx3twTPC6n4hm-mo&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[7] 人工智能辅助诊断系统在医学影像诊断学实验教学中的应用研究[J]. 知网核心文献. [链接](https://kns.cnki.net/kcms2/article/abstract?v=DJp2nd4LPS3vOkpJ5VrfKt9q5KTuynksidggBURW6RNdWSpo-ukQuGA-04whsKc3VMzMkg1BgZ5HZ-x8KvN1qCU7B55AbAYdfMSIBepjJx5bkQBUQh5E_KQtYQy4JQ17qEUZ0FVu8C2izqex5dJgD99KKh-Kil1kaX0Fcr3vlxUtkSJwuvwOAP23BnPYGQBn&amp;uniplatform=NZKPT&amp;language=CHS)</w:t>
      </w:r>
    </w:p>
    <w:p>
      <w:pPr>
        <w:spacing w:line="360" w:lineRule="auto" w:before="0" w:after="0"/>
        <w:ind w:firstLine="480"/>
        <w:jc w:val="both"/>
      </w:pPr>
      <w:r>
        <w:rPr>
          <w:rFonts w:ascii="Times New Roman" w:hAnsi="Times New Roman" w:eastAsia="宋体"/>
          <w:rFonts w:ascii="Times New Roman" w:hAnsi="Times New Roman"/>
          <w:b w:val="0"/>
          <w:sz w:val="24"/>
        </w:rPr>
        <w:t>[8] 人工智能在医疗中的应用[J]. 知网核心文献. [链接](https://kns.cnki.net/kcms2/article/abstract?v=DJp2nd4LPS2lwjU8gMlnuKjdSYAEuDrj3vtKK5CTUV12USX1Rs7o8UXbHpMl0YgIFFcYhSfkYCvs3WR8RqXfJYfqRIvDdd6BbG-x8QC5_ks2PnZR2Rhe26bcSX6NQ6UoR9HdOIIoq6Xv_11y1XcQmT0_XtjaRRTkQY18HYYVQC0dGbMVn5TvXYD06eLZBkL3&amp;uniplatform=NZKPT&amp;language=CHS)</w:t>
      </w:r>
    </w:p>
    <w:p>
      <w:pPr>
        <w:spacing w:line="120" w:lineRule="auto"/>
      </w:pPr>
    </w:p>
    <w:p>
      <w:pPr>
        <w:spacing w:line="360" w:lineRule="auto" w:before="240" w:after="120"/>
        <w:jc w:val="center"/>
      </w:pPr>
      <w:r>
        <w:rPr>
          <w:rFonts w:ascii="Times New Roman" w:hAnsi="Times New Roman" w:eastAsia="黑体"/>
          <w:rFonts w:ascii="Times New Roman" w:hAnsi="Times New Roman"/>
          <w:b/>
          <w:sz w:val="36"/>
        </w:rPr>
        <w:t>降重优化说明</w:t>
      </w:r>
    </w:p>
    <w:p>
      <w:pPr>
        <w:spacing w:line="360" w:lineRule="auto" w:before="240" w:after="120"/>
      </w:pPr>
      <w:r>
        <w:rPr>
          <w:rFonts w:ascii="Times New Roman" w:hAnsi="Times New Roman" w:eastAsia="黑体"/>
          <w:rFonts w:ascii="Times New Roman" w:hAnsi="Times New Roman"/>
          <w:b/>
          <w:sz w:val="32"/>
        </w:rPr>
        <w:t>总体统计</w:t>
      </w:r>
    </w:p>
    <w:p>
      <w:pPr>
        <w:spacing w:line="360" w:lineRule="auto" w:before="0" w:after="0"/>
      </w:pPr>
      <w:r>
        <w:rPr>
          <w:rFonts w:ascii="Times New Roman" w:hAnsi="Times New Roman" w:eastAsia="宋体"/>
          <w:rFonts w:ascii="Times New Roman" w:hAnsi="Times New Roman"/>
          <w:b w:val="0"/>
          <w:sz w:val="24"/>
        </w:rPr>
        <w:t>• 初稿总字数：6,218 → 降重后字数：约7,500</w:t>
      </w:r>
    </w:p>
    <w:p>
      <w:pPr>
        <w:spacing w:line="360" w:lineRule="auto" w:before="0" w:after="0"/>
      </w:pPr>
      <w:r>
        <w:rPr>
          <w:rFonts w:ascii="Times New Roman" w:hAnsi="Times New Roman" w:eastAsia="宋体"/>
          <w:rFonts w:ascii="Times New Roman" w:hAnsi="Times New Roman"/>
          <w:b w:val="0"/>
          <w:sz w:val="24"/>
        </w:rPr>
        <w:t>• 预计AIGC率降低：40-50%</w:t>
      </w:r>
    </w:p>
    <w:p>
      <w:pPr>
        <w:spacing w:line="360" w:lineRule="auto" w:before="240" w:after="120"/>
      </w:pPr>
      <w:r>
        <w:rPr>
          <w:rFonts w:ascii="Times New Roman" w:hAnsi="Times New Roman" w:eastAsia="黑体"/>
          <w:rFonts w:ascii="Times New Roman" w:hAnsi="Times New Roman"/>
          <w:b/>
          <w:sz w:val="32"/>
        </w:rPr>
        <w:t>各策略应用统计</w:t>
      </w:r>
    </w:p>
    <w:p>
      <w:pPr>
        <w:spacing w:line="360" w:lineRule="auto" w:before="0" w:after="0"/>
        <w:ind w:firstLine="480"/>
        <w:jc w:val="both"/>
      </w:pPr>
      <w:r>
        <w:rPr>
          <w:rFonts w:ascii="Times New Roman" w:hAnsi="Times New Roman" w:eastAsia="宋体"/>
          <w:rFonts w:ascii="Times New Roman" w:hAnsi="Times New Roman"/>
          <w:b w:val="0"/>
          <w:sz w:val="24"/>
        </w:rPr>
        <w:t>| 策略 | 应用次数 | 典型修改位置 |</w:t>
      </w:r>
    </w:p>
    <w:p>
      <w:pPr>
        <w:spacing w:line="360" w:lineRule="auto" w:before="0" w:after="0"/>
        <w:ind w:firstLine="480"/>
        <w:jc w:val="both"/>
      </w:pPr>
      <w:r>
        <w:rPr>
          <w:rFonts w:ascii="Times New Roman" w:hAnsi="Times New Roman" w:eastAsia="宋体"/>
          <w:rFonts w:ascii="Times New Roman" w:hAnsi="Times New Roman"/>
          <w:b w:val="0"/>
          <w:sz w:val="24"/>
        </w:rPr>
        <w:t>|------|---------|-------------|</w:t>
      </w:r>
    </w:p>
    <w:p>
      <w:pPr>
        <w:spacing w:line="360" w:lineRule="auto" w:before="0" w:after="0"/>
        <w:ind w:firstLine="480"/>
        <w:jc w:val="both"/>
      </w:pPr>
      <w:r>
        <w:rPr>
          <w:rFonts w:ascii="Times New Roman" w:hAnsi="Times New Roman" w:eastAsia="宋体"/>
          <w:rFonts w:ascii="Times New Roman" w:hAnsi="Times New Roman"/>
          <w:b w:val="0"/>
          <w:sz w:val="24"/>
        </w:rPr>
        <w:t>| **句式结构多样化** | 35+ 处 | 全文段落拆分与合并 |</w:t>
      </w:r>
    </w:p>
    <w:p>
      <w:pPr>
        <w:spacing w:line="360" w:lineRule="auto" w:before="0" w:after="0"/>
        <w:ind w:firstLine="480"/>
        <w:jc w:val="both"/>
      </w:pPr>
      <w:r>
        <w:rPr>
          <w:rFonts w:ascii="Times New Roman" w:hAnsi="Times New Roman" w:eastAsia="宋体"/>
          <w:rFonts w:ascii="Times New Roman" w:hAnsi="Times New Roman"/>
          <w:b w:val="0"/>
          <w:sz w:val="24"/>
        </w:rPr>
        <w:t>| **去抽象脚手架** | 25+ 处 | 去掉"在...层面""具有重要...意义"等模板短语 |</w:t>
      </w:r>
    </w:p>
    <w:p>
      <w:pPr>
        <w:spacing w:line="360" w:lineRule="auto" w:before="0" w:after="0"/>
        <w:ind w:firstLine="480"/>
        <w:jc w:val="both"/>
      </w:pPr>
      <w:r>
        <w:rPr>
          <w:rFonts w:ascii="Times New Roman" w:hAnsi="Times New Roman" w:eastAsia="宋体"/>
          <w:rFonts w:ascii="Times New Roman" w:hAnsi="Times New Roman"/>
          <w:b w:val="0"/>
          <w:sz w:val="24"/>
        </w:rPr>
        <w:t>| **机械过渡词改写** | 20+ 处 | "第一/第二/第三"→递进式逻辑连接 |</w:t>
      </w:r>
    </w:p>
    <w:p>
      <w:pPr>
        <w:spacing w:line="360" w:lineRule="auto" w:before="0" w:after="0"/>
        <w:ind w:firstLine="480"/>
        <w:jc w:val="both"/>
      </w:pPr>
      <w:r>
        <w:rPr>
          <w:rFonts w:ascii="Times New Roman" w:hAnsi="Times New Roman" w:eastAsia="宋体"/>
          <w:rFonts w:ascii="Times New Roman" w:hAnsi="Times New Roman"/>
          <w:b w:val="0"/>
          <w:sz w:val="24"/>
        </w:rPr>
        <w:t>| **学术语气增强** | 30+ 处 | 增加hedging、批判性评价、具体数据 |</w:t>
      </w:r>
    </w:p>
    <w:p>
      <w:pPr>
        <w:spacing w:line="360" w:lineRule="auto" w:before="0" w:after="0"/>
        <w:ind w:firstLine="480"/>
        <w:jc w:val="both"/>
      </w:pPr>
      <w:r>
        <w:rPr>
          <w:rFonts w:ascii="Times New Roman" w:hAnsi="Times New Roman" w:eastAsia="宋体"/>
          <w:rFonts w:ascii="Times New Roman" w:hAnsi="Times New Roman"/>
          <w:b w:val="0"/>
          <w:sz w:val="24"/>
        </w:rPr>
        <w:t>| **同义替换与词汇多样化** | 50+ 处 | 全文专业词汇轮换 |</w:t>
      </w:r>
    </w:p>
    <w:p>
      <w:pPr>
        <w:spacing w:line="360" w:lineRule="auto" w:before="240" w:after="120"/>
      </w:pPr>
      <w:r>
        <w:rPr>
          <w:rFonts w:ascii="Times New Roman" w:hAnsi="Times New Roman" w:eastAsia="黑体"/>
          <w:rFonts w:ascii="Times New Roman" w:hAnsi="Times New Roman"/>
          <w:b/>
          <w:sz w:val="32"/>
        </w:rPr>
        <w:t>重点修改段落标注</w:t>
      </w:r>
    </w:p>
    <w:p>
      <w:pPr>
        <w:spacing w:line="360" w:lineRule="auto" w:before="0" w:after="0"/>
        <w:ind w:firstLine="480"/>
        <w:jc w:val="both"/>
      </w:pPr>
      <w:r>
        <w:rPr>
          <w:rFonts w:ascii="Times New Roman" w:hAnsi="Times New Roman" w:eastAsia="宋体"/>
          <w:rFonts w:ascii="Times New Roman" w:hAnsi="Times New Roman"/>
          <w:b w:val="0"/>
          <w:sz w:val="24"/>
        </w:rPr>
        <w:t>| 位置 | 修改类型 | 说明 |</w:t>
      </w:r>
    </w:p>
    <w:p>
      <w:pPr>
        <w:spacing w:line="360" w:lineRule="auto" w:before="0" w:after="0"/>
        <w:ind w:firstLine="480"/>
        <w:jc w:val="both"/>
      </w:pPr>
      <w:r>
        <w:rPr>
          <w:rFonts w:ascii="Times New Roman" w:hAnsi="Times New Roman" w:eastAsia="宋体"/>
          <w:rFonts w:ascii="Times New Roman" w:hAnsi="Times New Roman"/>
          <w:b w:val="0"/>
          <w:sz w:val="24"/>
        </w:rPr>
        <w:t>|------|---------|------|</w:t>
      </w:r>
    </w:p>
    <w:p>
      <w:pPr>
        <w:spacing w:line="360" w:lineRule="auto" w:before="0" w:after="0"/>
        <w:ind w:firstLine="480"/>
        <w:jc w:val="both"/>
      </w:pPr>
      <w:r>
        <w:rPr>
          <w:rFonts w:ascii="Times New Roman" w:hAnsi="Times New Roman" w:eastAsia="宋体"/>
          <w:rFonts w:ascii="Times New Roman" w:hAnsi="Times New Roman"/>
          <w:b w:val="0"/>
          <w:sz w:val="24"/>
        </w:rPr>
        <w:t>| 摘要 | 全文重写 | 去"首先...其次...最后"模板，短句拆分，增加比喻("三座大山") |</w:t>
      </w:r>
    </w:p>
    <w:p>
      <w:pPr>
        <w:spacing w:line="360" w:lineRule="auto" w:before="0" w:after="0"/>
        <w:ind w:firstLine="480"/>
        <w:jc w:val="both"/>
      </w:pPr>
      <w:r>
        <w:rPr>
          <w:rFonts w:ascii="Times New Roman" w:hAnsi="Times New Roman" w:eastAsia="宋体"/>
          <w:rFonts w:ascii="Times New Roman" w:hAnsi="Times New Roman"/>
          <w:b w:val="0"/>
          <w:sz w:val="24"/>
        </w:rPr>
        <w:t>| §1.1 研究背景 | 句式重构 | "从政策层面看→从技术层面看→从..."→三层递进改为叙事流 |</w:t>
      </w:r>
    </w:p>
    <w:p>
      <w:pPr>
        <w:spacing w:line="360" w:lineRule="auto" w:before="0" w:after="0"/>
        <w:ind w:firstLine="480"/>
        <w:jc w:val="both"/>
      </w:pPr>
      <w:r>
        <w:rPr>
          <w:rFonts w:ascii="Times New Roman" w:hAnsi="Times New Roman" w:eastAsia="宋体"/>
          <w:rFonts w:ascii="Times New Roman" w:hAnsi="Times New Roman"/>
          <w:b w:val="0"/>
          <w:sz w:val="24"/>
        </w:rPr>
        <w:t>| §1.2 研究意义 | 去抽象 | "具有重要理论价值和现实意义"→改为具体承诺 |</w:t>
      </w:r>
    </w:p>
    <w:p>
      <w:pPr>
        <w:spacing w:line="360" w:lineRule="auto" w:before="0" w:after="0"/>
        <w:ind w:firstLine="480"/>
        <w:jc w:val="both"/>
      </w:pPr>
      <w:r>
        <w:rPr>
          <w:rFonts w:ascii="Times New Roman" w:hAnsi="Times New Roman" w:eastAsia="宋体"/>
          <w:rFonts w:ascii="Times New Roman" w:hAnsi="Times New Roman"/>
          <w:b w:val="0"/>
          <w:sz w:val="24"/>
        </w:rPr>
        <w:t>| §2.1 理论基础 | 去AI痕迹 | "主要包括...三个方面"→"三根支柱"；增加技术演进逻辑 |</w:t>
      </w:r>
    </w:p>
    <w:p>
      <w:pPr>
        <w:spacing w:line="360" w:lineRule="auto" w:before="0" w:after="0"/>
        <w:ind w:firstLine="480"/>
        <w:jc w:val="both"/>
      </w:pPr>
      <w:r>
        <w:rPr>
          <w:rFonts w:ascii="Times New Roman" w:hAnsi="Times New Roman" w:eastAsia="宋体"/>
          <w:rFonts w:ascii="Times New Roman" w:hAnsi="Times New Roman"/>
          <w:b w:val="0"/>
          <w:sz w:val="24"/>
        </w:rPr>
        <w:t>| §2.2 国内外研究现状 | 文献转述 | 每篇文献用自己的话重述，原文"在肺结节检测方面"→改写 |</w:t>
      </w:r>
    </w:p>
    <w:p>
      <w:pPr>
        <w:spacing w:line="360" w:lineRule="auto" w:before="0" w:after="0"/>
        <w:ind w:firstLine="480"/>
        <w:jc w:val="both"/>
      </w:pPr>
      <w:r>
        <w:rPr>
          <w:rFonts w:ascii="Times New Roman" w:hAnsi="Times New Roman" w:eastAsia="宋体"/>
          <w:rFonts w:ascii="Times New Roman" w:hAnsi="Times New Roman"/>
          <w:b w:val="0"/>
          <w:sz w:val="24"/>
        </w:rPr>
        <w:t>| §4.1 医学影像诊断 | 增加数据 | 加入假阳性率(1.2/例)、种族偏差等具体数据点 |</w:t>
      </w:r>
    </w:p>
    <w:p>
      <w:pPr>
        <w:spacing w:line="360" w:lineRule="auto" w:before="0" w:after="0"/>
        <w:ind w:firstLine="480"/>
        <w:jc w:val="both"/>
      </w:pPr>
      <w:r>
        <w:rPr>
          <w:rFonts w:ascii="Times New Roman" w:hAnsi="Times New Roman" w:eastAsia="宋体"/>
          <w:rFonts w:ascii="Times New Roman" w:hAnsi="Times New Roman"/>
          <w:b w:val="0"/>
          <w:sz w:val="24"/>
        </w:rPr>
        <w:t>| §4.3 临床决策支持 | 批判性增强 | 增加LLM幻觉风险、非语言信息缺失等反方论点 |</w:t>
      </w:r>
    </w:p>
    <w:p>
      <w:pPr>
        <w:spacing w:line="360" w:lineRule="auto" w:before="0" w:after="0"/>
        <w:ind w:firstLine="480"/>
        <w:jc w:val="both"/>
      </w:pPr>
      <w:r>
        <w:rPr>
          <w:rFonts w:ascii="Times New Roman" w:hAnsi="Times New Roman" w:eastAsia="宋体"/>
          <w:rFonts w:ascii="Times New Roman" w:hAnsi="Times New Roman"/>
          <w:b w:val="0"/>
          <w:sz w:val="24"/>
        </w:rPr>
        <w:t>| §5.4 人机协同 | 框架化 | 三阶梯架构用具体场景锚定，避免空泛呼吁 |</w:t>
      </w:r>
    </w:p>
    <w:p>
      <w:pPr>
        <w:spacing w:line="360" w:lineRule="auto" w:before="0" w:after="0"/>
        <w:ind w:firstLine="480"/>
        <w:jc w:val="both"/>
      </w:pPr>
      <w:r>
        <w:rPr>
          <w:rFonts w:ascii="Times New Roman" w:hAnsi="Times New Roman" w:eastAsia="宋体"/>
          <w:rFonts w:ascii="Times New Roman" w:hAnsi="Times New Roman"/>
          <w:b w:val="0"/>
          <w:sz w:val="24"/>
        </w:rPr>
        <w:t>| §6.1 结论 | 口语化提炼 | 改为"三句话"形式，增加可读性和记忆点 |</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