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Polityka Zarządzania Ryzykiem ICT (zgodna z DORA)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Wersja</w:t>
            </w:r>
          </w:p>
        </w:tc>
        <w:tc>
          <w:tcPr>
            <w:tcW w:type="dxa" w:w="4320"/>
          </w:tcPr>
          <w:p>
            <w:r>
              <w:t>v2.0 (zmiany organizacyjne)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2025-10-07</w:t>
            </w:r>
          </w:p>
        </w:tc>
      </w:tr>
      <w:tr>
        <w:tc>
          <w:tcPr>
            <w:tcW w:type="dxa" w:w="4320"/>
          </w:tcPr>
          <w:p>
            <w:r>
              <w:t>Właściciel</w:t>
            </w:r>
          </w:p>
        </w:tc>
        <w:tc>
          <w:tcPr>
            <w:tcW w:type="dxa" w:w="4320"/>
          </w:tcPr>
          <w:p>
            <w:r>
              <w:t>Chief Operating Officer (COO)</w:t>
            </w:r>
          </w:p>
        </w:tc>
      </w:tr>
      <w:tr>
        <w:tc>
          <w:tcPr>
            <w:tcW w:type="dxa" w:w="4320"/>
          </w:tcPr>
          <w:p>
            <w:r>
              <w:t>Jednostka nadzorująca</w:t>
            </w:r>
          </w:p>
        </w:tc>
        <w:tc>
          <w:tcPr>
            <w:tcW w:type="dxa" w:w="4320"/>
          </w:tcPr>
          <w:p>
            <w:r>
              <w:t>Zarząd</w:t>
            </w:r>
          </w:p>
        </w:tc>
      </w:tr>
      <w:tr>
        <w:tc>
          <w:tcPr>
            <w:tcW w:type="dxa" w:w="4320"/>
          </w:tcPr>
          <w:p>
            <w:r>
              <w:t>Gremium komitetowe</w:t>
            </w:r>
          </w:p>
        </w:tc>
        <w:tc>
          <w:tcPr>
            <w:tcW w:type="dxa" w:w="4320"/>
          </w:tcPr>
          <w:p>
            <w:r>
              <w:t>Komitet Odporności Cyfrowej (KOC)</w:t>
            </w:r>
          </w:p>
        </w:tc>
      </w:tr>
      <w:tr>
        <w:tc>
          <w:tcPr>
            <w:tcW w:type="dxa" w:w="4320"/>
          </w:tcPr>
          <w:p>
            <w:r>
              <w:t>Zakres organizacyjny</w:t>
            </w:r>
          </w:p>
        </w:tc>
        <w:tc>
          <w:tcPr>
            <w:tcW w:type="dxa" w:w="4320"/>
          </w:tcPr>
          <w:p>
            <w:r>
              <w:t>Cała Grupa – rozszerzony nadzór na spółki zagraniczne</w:t>
            </w:r>
          </w:p>
        </w:tc>
      </w:tr>
    </w:tbl>
    <w:p/>
    <w:p>
      <w:pPr>
        <w:pStyle w:val="Heading1"/>
      </w:pPr>
      <w:r>
        <w:t>1. Cel i zakres</w:t>
      </w:r>
    </w:p>
    <w:p>
      <w:r>
        <w:t>Celem Polityki jest ustanowienie jednolitych zasad zarządzania ryzykiem ICT w podmiocie finansowym, zgodnie z Rozporządzeniem (UE) 2022/2554 (DORA) oraz powiązanymi standardami technicznymi (RTS/ITS) i wytycznymi organów nadzoru (EUNB/ESMA/EIOPA). Polityka obejmuje wszystkie procesy, systemy, dane, osoby oraz relacje z dostawcami ICT wpływające na ciągłość krytycznych i istotnych funkcji.</w:t>
      </w:r>
    </w:p>
    <w:p>
      <w:pPr>
        <w:pStyle w:val="Heading1"/>
      </w:pPr>
      <w:r>
        <w:t>2. Definicje</w:t>
      </w:r>
    </w:p>
    <w:p>
      <w:pPr>
        <w:pStyle w:val="ListBullet"/>
      </w:pPr>
      <w:r>
        <w:t>Ryzyko ICT – ryzyko straty wynikające z nieodpowiedniej lub zawodnej infrastruktury, oprogramowania, osób lub procesów ICT, w tym ryzyka cyber.</w:t>
      </w:r>
    </w:p>
    <w:p>
      <w:pPr>
        <w:pStyle w:val="ListBullet"/>
      </w:pPr>
      <w:r>
        <w:t>Krytyczna lub istotna funkcja (KIF) – funkcja, której zakłócenie miałoby istotny wpływ na ciągłość działania, klientów lub stabilność finansową.</w:t>
      </w:r>
    </w:p>
    <w:p>
      <w:pPr>
        <w:pStyle w:val="ListBullet"/>
      </w:pPr>
      <w:r>
        <w:t>Poważny incydent ICT – incydent spełniający progi materialności określone w niniejszej Polityce oraz w przepisach wykonawczych.</w:t>
      </w:r>
    </w:p>
    <w:p>
      <w:pPr>
        <w:pStyle w:val="ListBullet"/>
      </w:pPr>
      <w:r>
        <w:t>Dostawca ICT – podmiot świadczący usługi, rozwiązania lub zasoby ICT, w tym w modelu chmury.</w:t>
      </w:r>
    </w:p>
    <w:p>
      <w:pPr>
        <w:pStyle w:val="Heading1"/>
      </w:pPr>
      <w:r>
        <w:t>3. Ład organizacyjny i role</w:t>
      </w:r>
    </w:p>
    <w:p>
      <w:r>
        <w:t>Zarząd odpowiada za zatwierdzenie Polityki, wyznacza akceptowalny poziom ryzyka oraz nadzoruje jej wdrożenie. Dyrekcja zapewnia zasoby i egzekwuje stosowanie zasad w jednostkach.</w:t>
      </w:r>
    </w:p>
    <w:p>
      <w:pPr>
        <w:pStyle w:val="Heading2"/>
      </w:pPr>
      <w:r>
        <w:t>3.1 Właściciel Polityki</w:t>
      </w:r>
    </w:p>
    <w:p>
      <w:pPr>
        <w:pStyle w:val="ListBullet"/>
      </w:pPr>
      <w:r>
        <w:t>Właścicielem Polityki jest Chief Operating Officer (COO).</w:t>
      </w:r>
    </w:p>
    <w:p>
      <w:pPr>
        <w:pStyle w:val="ListBullet"/>
      </w:pPr>
      <w:r>
        <w:t>Organizacja pierwszej linii odpowiedzialna za bieżące zarządzanie ryzykiem ICT: Biuro Odporności Cyfrowej (BOD) w Departamencie Operacji i IT.</w:t>
      </w:r>
    </w:p>
    <w:p>
      <w:pPr>
        <w:pStyle w:val="ListBullet"/>
      </w:pPr>
      <w:r>
        <w:t>Niezależna funkcja ryzyka i zgodności raportuje do Zarządu; 2LoD nadal raportuje niezależnie do Komitetu Audytu i Zarządu.</w:t>
      </w:r>
    </w:p>
    <w:p>
      <w:pPr>
        <w:pStyle w:val="Heading2"/>
      </w:pPr>
      <w:r>
        <w:t>3.2 Komitet</w:t>
      </w:r>
    </w:p>
    <w:p>
      <w:pPr>
        <w:pStyle w:val="ListBullet"/>
      </w:pPr>
      <w:r>
        <w:t>Ustanawia się Komitet Odporności Cyfrowej (KOC) zbierający się co miesiąc (połączony z Komitetem Ciągłości Działania).</w:t>
      </w:r>
    </w:p>
    <w:p>
      <w:pPr>
        <w:pStyle w:val="ListBullet"/>
      </w:pPr>
      <w:r>
        <w:t>Zakres: przegląd ryzyka ICT, postępu remediacji, wskaźników KRI/KPI, istotnych projektów zmian, akceptacji wyjątków.</w:t>
      </w:r>
    </w:p>
    <w:p>
      <w:pPr>
        <w:pStyle w:val="Heading2"/>
      </w:pPr>
      <w:r>
        <w:t>3.3 Odpowiedzialności kluczowe</w:t>
      </w:r>
    </w:p>
    <w:p>
      <w:pPr>
        <w:pStyle w:val="ListBullet"/>
      </w:pPr>
      <w:r>
        <w:t>Właściciele procesów biznesowych – identyfikują i oceniają ryzyka ICT w swoich obszarach.</w:t>
      </w:r>
    </w:p>
    <w:p>
      <w:pPr>
        <w:pStyle w:val="ListBullet"/>
      </w:pPr>
      <w:r>
        <w:t>IT – wdraża kontrole i zapewnia dostępność oraz bezpieczeństwo rozwiązań ICT.</w:t>
      </w:r>
    </w:p>
    <w:p>
      <w:pPr>
        <w:pStyle w:val="ListBullet"/>
      </w:pPr>
      <w:r>
        <w:t>Biuro Odporności Cyfrowej (BOD) w Departamencie Operacji i IT – utrzymuje ramy, metodologię, rejestr ryzyk ICT, koordynuje testy odporności.</w:t>
      </w:r>
    </w:p>
    <w:p>
      <w:pPr>
        <w:pStyle w:val="ListBullet"/>
      </w:pPr>
      <w:r>
        <w:t>Dział bezpieczeństwa – prowadzi zarządzanie incydentami, SOC i cyberobronę.</w:t>
      </w:r>
    </w:p>
    <w:p>
      <w:pPr>
        <w:pStyle w:val="ListBullet"/>
      </w:pPr>
      <w:r>
        <w:t>Jednostka Zarządzania Dostawcami ICT (JZDICT) w BOD – prowadzi zarządzanie relacjami z dostawcami ICT oraz due diligence.</w:t>
      </w:r>
    </w:p>
    <w:p>
      <w:pPr>
        <w:pStyle w:val="Heading2"/>
      </w:pPr>
      <w:r>
        <w:t>3.4 Rejestr ról (RACI) – wycinek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Obszar</w:t>
            </w:r>
          </w:p>
        </w:tc>
        <w:tc>
          <w:tcPr>
            <w:tcW w:type="dxa" w:w="1440"/>
          </w:tcPr>
          <w:p>
            <w:r>
              <w:t>Właściciel</w:t>
            </w:r>
          </w:p>
        </w:tc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Bezpieczeństwo</w:t>
            </w:r>
          </w:p>
        </w:tc>
        <w:tc>
          <w:tcPr>
            <w:tcW w:type="dxa" w:w="1440"/>
          </w:tcPr>
          <w:p>
            <w:r>
              <w:t>Ryzyko/2LoD</w:t>
            </w:r>
          </w:p>
        </w:tc>
        <w:tc>
          <w:tcPr>
            <w:tcW w:type="dxa" w:w="1440"/>
          </w:tcPr>
          <w:p>
            <w:r>
              <w:t>Audyt/3LoD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Identyfikacja ryzyka</w:t>
            </w:r>
          </w:p>
        </w:tc>
        <w:tc>
          <w:tcPr>
            <w:tcW w:type="dxa" w:w="1440"/>
          </w:tcPr>
          <w:p>
            <w:r>
              <w:t>A/R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Ocena i akceptacja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Zarządzanie incydentami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R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  <w:tr>
        <w:tc>
          <w:tcPr>
            <w:tcW w:type="dxa" w:w="1440"/>
          </w:tcPr>
          <w:p>
            <w:r>
              <w:t>Dostawcy ICT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C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I</w:t>
            </w:r>
          </w:p>
        </w:tc>
      </w:tr>
    </w:tbl>
    <w:p>
      <w:r>
        <w:t>Uwaga: właścicielem obszaru „Dostawcy ICT” jest Jednostka Zarządzania Dostawcami ICT (JZDICT) w BOD; rejestr umów ICT prowadzi JZDICT (centralny rejestr umów ICT).</w:t>
      </w:r>
    </w:p>
    <w:p>
      <w:pPr>
        <w:pStyle w:val="Heading1"/>
      </w:pPr>
      <w:r>
        <w:t>4. Ramy zarządzania ryzykiem ICT</w:t>
      </w:r>
    </w:p>
    <w:p>
      <w:pPr>
        <w:pStyle w:val="Heading2"/>
      </w:pPr>
      <w:r>
        <w:t>4.1 Identyfikacja i klasyfikacja</w:t>
      </w:r>
    </w:p>
    <w:p>
      <w:pPr>
        <w:pStyle w:val="ListBullet"/>
      </w:pPr>
      <w:r>
        <w:t>Prowadzi się inwentaryzację zasobów ICT, usług i zależności (w tym łańcucha dostaw).</w:t>
      </w:r>
    </w:p>
    <w:p>
      <w:pPr>
        <w:pStyle w:val="ListBullet"/>
      </w:pPr>
      <w:r>
        <w:t>Klasyfikuje się funkcje jako krytyczne/istotne na podstawie wpływu na klientów, rynek i zgodność.</w:t>
      </w:r>
    </w:p>
    <w:p>
      <w:pPr>
        <w:pStyle w:val="Heading2"/>
      </w:pPr>
      <w:r>
        <w:t>4.2 Ocena ryzyka</w:t>
      </w:r>
    </w:p>
    <w:p>
      <w:pPr>
        <w:pStyle w:val="ListBullet"/>
      </w:pPr>
      <w:r>
        <w:t>Ocena na poziomie aktywa/usługi oraz agregacja na poziomie procesu i KIF.</w:t>
      </w:r>
    </w:p>
    <w:p>
      <w:pPr>
        <w:pStyle w:val="ListBullet"/>
      </w:pPr>
      <w:r>
        <w:t>Skala: Prawdopodobieństwo x Wpływ (finanse, klienci, zgodność, reputacja, dostępność).</w:t>
      </w:r>
    </w:p>
    <w:p>
      <w:pPr>
        <w:pStyle w:val="ListBullet"/>
      </w:pPr>
      <w:r>
        <w:t>Akceptacja ryzyka zgodnie z apetytami i tolerancjami zatwierdzonymi przez Zarząd.</w:t>
      </w:r>
    </w:p>
    <w:p>
      <w:pPr>
        <w:pStyle w:val="Heading2"/>
      </w:pPr>
      <w:r>
        <w:t>4.3 Kontrole i remediacja</w:t>
      </w:r>
    </w:p>
    <w:p>
      <w:pPr>
        <w:pStyle w:val="ListBullet"/>
      </w:pPr>
      <w:r>
        <w:t>Standardy kontroli w obszarach: dostępność, ciągłość, cyberbezpieczeństwo, zmiany, konfiguracja, tożsamość, dane.</w:t>
      </w:r>
    </w:p>
    <w:p>
      <w:pPr>
        <w:pStyle w:val="ListBullet"/>
      </w:pPr>
      <w:r>
        <w:t>Plany remediacji z terminami, właścicielem i mierzalnymi rezultatami.</w:t>
      </w:r>
    </w:p>
    <w:p>
      <w:pPr>
        <w:pStyle w:val="Heading2"/>
      </w:pPr>
      <w:r>
        <w:t>4.4 Incydenty ICT i raportowanie</w:t>
      </w:r>
    </w:p>
    <w:p>
      <w:pPr>
        <w:pStyle w:val="ListBullet"/>
      </w:pPr>
      <w:r>
        <w:t>Proces reagowania (detekcja → analiza → eskalacja → przywrócenie → post-mortem).</w:t>
      </w:r>
    </w:p>
    <w:p>
      <w:pPr>
        <w:pStyle w:val="ListBullet"/>
      </w:pPr>
      <w:r>
        <w:t>Klasyfikacja poważnego incydentu (próg): niedostępność KIF &gt; 2h lub wpływ &gt; 5 000 klientów, lub istotny wpływ regulacyjny.</w:t>
      </w:r>
    </w:p>
    <w:p>
      <w:pPr>
        <w:pStyle w:val="ListBullet"/>
      </w:pPr>
      <w:r>
        <w:t>Zgłoszenia do organów nadzoru oraz klientów zgodnie z przepisami i RTS/ITS; prowadzi się rejestr incydentów ICT.</w:t>
      </w:r>
    </w:p>
    <w:p>
      <w:pPr>
        <w:pStyle w:val="Heading2"/>
      </w:pPr>
      <w:r>
        <w:t>4.5 Ciągłość działania i DR</w:t>
      </w:r>
    </w:p>
    <w:p>
      <w:pPr>
        <w:pStyle w:val="ListBullet"/>
      </w:pPr>
      <w:r>
        <w:t>Cele odtwarzania: dla płatności i bankowości elektronicznej: RTO ≤ 2h, RPO ≤ 30 min; dla pozostałych KIF: RTO ≤ 4h, RPO ≤ 1h.</w:t>
      </w:r>
    </w:p>
    <w:p>
      <w:pPr>
        <w:pStyle w:val="ListBullet"/>
      </w:pPr>
      <w:r>
        <w:t>Plany BCP/DRP aktualizowane co najmniej rocznie; testy: techniczne, proceduralne i symulacyjne.</w:t>
      </w:r>
    </w:p>
    <w:p>
      <w:pPr>
        <w:pStyle w:val="Heading2"/>
      </w:pPr>
      <w:r>
        <w:t>4.6 Testy odporności cyfrowej</w:t>
      </w:r>
    </w:p>
    <w:p>
      <w:pPr>
        <w:pStyle w:val="ListBullet"/>
      </w:pPr>
      <w:r>
        <w:t>Testowanie obejmuje skany, testy penetracyjne, scenariusze katastroficzne oraz TLPT (threat‑led). Częstotliwość TLPT: co 2 lata dla KIF o najwyższej krytyczności; co 3 lata dla pozostałych KIF.</w:t>
      </w:r>
    </w:p>
    <w:p>
      <w:pPr>
        <w:pStyle w:val="ListBullet"/>
      </w:pPr>
      <w:r>
        <w:t>Zaangażowanie niezależnych testerów oraz nadzór 2LoD; wnioski trafiają do Komitetu.</w:t>
      </w:r>
    </w:p>
    <w:p>
      <w:pPr>
        <w:pStyle w:val="Heading2"/>
      </w:pPr>
      <w:r>
        <w:t>4.7 Zmiany ICT</w:t>
      </w:r>
    </w:p>
    <w:p>
      <w:pPr>
        <w:pStyle w:val="ListBullet"/>
      </w:pPr>
      <w:r>
        <w:t>Kontrola zmian (CAB), ocena wpływu na KIF, okna serwisowe, plan wycofania.</w:t>
      </w:r>
    </w:p>
    <w:p>
      <w:pPr>
        <w:pStyle w:val="ListBullet"/>
      </w:pPr>
      <w:r>
        <w:t>Zmiany istotne wymagają zgody Komitetu oraz aktualizacji analizy ryzyka.</w:t>
      </w:r>
    </w:p>
    <w:p>
      <w:pPr>
        <w:pStyle w:val="Heading2"/>
      </w:pPr>
      <w:r>
        <w:t>4.8 Dostawcy i łańcuch dostaw ICT</w:t>
      </w:r>
    </w:p>
    <w:p>
      <w:pPr>
        <w:pStyle w:val="ListBullet"/>
      </w:pPr>
      <w:r>
        <w:t>Due diligence przed zawarciem umowy; ocena ryzyka koncentracji i lock‑in.</w:t>
      </w:r>
    </w:p>
    <w:p>
      <w:pPr>
        <w:pStyle w:val="ListBullet"/>
      </w:pPr>
      <w:r>
        <w:t>Obowiązkowe klauzule DORA: prawa audytu, dostęp do danych/obiektów, raportowanie incydentów, lokalizacja i podwykonawcy.</w:t>
      </w:r>
    </w:p>
    <w:p>
      <w:pPr>
        <w:pStyle w:val="ListBullet"/>
      </w:pPr>
      <w:r>
        <w:t>Centralny Rejestr Umów ICT, ocena krytyczności oraz plany wyjścia (exit plans).</w:t>
      </w:r>
    </w:p>
    <w:p>
      <w:pPr>
        <w:pStyle w:val="Heading2"/>
      </w:pPr>
      <w:r>
        <w:t>4.9 Wskaźniki i raportowanie</w:t>
      </w:r>
    </w:p>
    <w:p>
      <w:pPr>
        <w:pStyle w:val="ListBullet"/>
      </w:pPr>
      <w:r>
        <w:t>KRI/KPI z progami tolerancji: np. dostępność &lt; 99,7% w miesiącu dla kanałów klienta; MTTR &gt; 2h dla KIF; krytyczne łatki &gt; 7 dni.</w:t>
      </w:r>
    </w:p>
    <w:p>
      <w:pPr>
        <w:pStyle w:val="ListBullet"/>
      </w:pPr>
      <w:r>
        <w:t>Miesięczne raporty operacyjne, kwartalne raporty dla Zarządu, roczne sprawozdanie zgodności DORA.</w:t>
      </w:r>
    </w:p>
    <w:p>
      <w:pPr>
        <w:pStyle w:val="Heading2"/>
      </w:pPr>
      <w:r>
        <w:t>4.10 Szkolenia i świadomość</w:t>
      </w:r>
    </w:p>
    <w:p>
      <w:pPr>
        <w:pStyle w:val="ListBullet"/>
      </w:pPr>
      <w:r>
        <w:t>Program szkoleń dla wszystkich pracowników (częstotliwość: co 6 miesięcy dla ról kluczowych; raz w roku dla pozostałych + onboarding); moduły specjalistyczne dla ról technicznych i kadry.</w:t>
      </w:r>
    </w:p>
    <w:p>
      <w:pPr>
        <w:pStyle w:val="Heading1"/>
      </w:pPr>
      <w:r>
        <w:t>5. Dokumentacja, przegląd i doskonalenie</w:t>
      </w:r>
    </w:p>
    <w:p>
      <w:pPr>
        <w:pStyle w:val="ListBullet"/>
      </w:pPr>
      <w:r>
        <w:t>Polityka przeglądana co najmniej raz na 12 miesięcy lub po istotnym incydencie.</w:t>
      </w:r>
    </w:p>
    <w:p>
      <w:pPr>
        <w:pStyle w:val="ListBullet"/>
      </w:pPr>
      <w:r>
        <w:t>Wszystkie procedury i standardy powiązane są wersjonowane i przechowywane w repozytorium ładu korporacyjnego.</w:t>
      </w:r>
    </w:p>
    <w:p>
      <w:pPr>
        <w:pStyle w:val="ListBullet"/>
      </w:pPr>
      <w:r>
        <w:t>Wnioski z inspekcji, audytów i testów są śledzone do zamknięcia (closure).</w:t>
      </w:r>
    </w:p>
    <w:p>
      <w:pPr>
        <w:pStyle w:val="Heading1"/>
      </w:pPr>
      <w:r>
        <w:t>6. Wejście w życie</w:t>
      </w:r>
    </w:p>
    <w:p>
      <w:r>
        <w:t>Polityka wchodzi w życie z dniem zatwierdzenia przez Zarząd.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abelaNaglowek">
    <w:name w:val="TabelaNaglowek"/>
    <w:rPr>
      <w:rFonts w:ascii="Calibri" w:hAnsi="Calibr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