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52ryd9ers61" w:id="0"/>
      <w:bookmarkEnd w:id="0"/>
      <w:r w:rsidDel="00000000" w:rsidR="00000000" w:rsidRPr="00000000">
        <w:rPr>
          <w:rtl w:val="0"/>
        </w:rPr>
        <w:t xml:space="preserve">Paleta de Colores (Enfoque de Accesibilidad WCAG AA)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esquema cromático utiliza contrastes estrictos superiores al ratio 4.5:1 exigido por las pautas de accesibilidad para garantizar una lectura universal en pantallas con reflejos de luz o baja iluminación: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Marrón Espresso Principal (</w:t>
      </w:r>
      <w:r w:rsidDel="00000000" w:rsidR="00000000" w:rsidRPr="00000000">
        <w:rPr>
          <w:color w:val="322011"/>
          <w:rtl w:val="0"/>
        </w:rPr>
        <w:t xml:space="preserve">#322011</w:t>
      </w:r>
      <w:r w:rsidDel="00000000" w:rsidR="00000000" w:rsidRPr="00000000">
        <w:rPr>
          <w:rtl w:val="0"/>
        </w:rPr>
        <w:t xml:space="preserve">): Fondos de tarjetas principales y acentos de marca corporativos.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Marrón Oscuro de Texto / Sidebar (</w:t>
      </w:r>
      <w:r w:rsidDel="00000000" w:rsidR="00000000" w:rsidRPr="00000000">
        <w:rPr>
          <w:color w:val="2c1e14"/>
          <w:rtl w:val="0"/>
        </w:rPr>
        <w:t xml:space="preserve">#2c1e14</w:t>
      </w:r>
      <w:r w:rsidDel="00000000" w:rsidR="00000000" w:rsidRPr="00000000">
        <w:rPr>
          <w:rtl w:val="0"/>
        </w:rPr>
        <w:t xml:space="preserve">): Texto principal sobre fondos claros y elementos de navegación activos.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Verde de Ingreso Accesible (</w:t>
      </w:r>
      <w:r w:rsidDel="00000000" w:rsidR="00000000" w:rsidRPr="00000000">
        <w:rPr>
          <w:color w:val="004d33"/>
          <w:rtl w:val="0"/>
        </w:rPr>
        <w:t xml:space="preserve">#004d33</w:t>
      </w:r>
      <w:r w:rsidDel="00000000" w:rsidR="00000000" w:rsidRPr="00000000">
        <w:rPr>
          <w:rtl w:val="0"/>
        </w:rPr>
        <w:t xml:space="preserve">): Botones de éxito, bordes focales de formularios de ingresos y tipografía cuantitativa positiva.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Rojo de Egreso Accesible (</w:t>
      </w:r>
      <w:r w:rsidDel="00000000" w:rsidR="00000000" w:rsidRPr="00000000">
        <w:rPr>
          <w:color w:val="8c1111"/>
          <w:rtl w:val="0"/>
        </w:rPr>
        <w:t xml:space="preserve">#8c1111</w:t>
      </w:r>
      <w:r w:rsidDel="00000000" w:rsidR="00000000" w:rsidRPr="00000000">
        <w:rPr>
          <w:rtl w:val="0"/>
        </w:rPr>
        <w:t xml:space="preserve">): Botones de peligro, estados de gasto, botón de cierre de sesión (logout) y tipografía cuantitativa de saldos negativos.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Fondo de Interfaz Claro (</w:t>
      </w:r>
      <w:r w:rsidDel="00000000" w:rsidR="00000000" w:rsidRPr="00000000">
        <w:rPr>
          <w:color w:val="fcfbfa"/>
          <w:highlight w:val="black"/>
          <w:rtl w:val="0"/>
        </w:rPr>
        <w:t xml:space="preserve">#fcfbfa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ffffff"/>
          <w:highlight w:val="black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):Superficies generales de fondo y tarjetas contenedoras para evitar la fatiga visual del usuario.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dpnib7u1c7" w:id="1"/>
      <w:bookmarkEnd w:id="1"/>
      <w:r w:rsidDel="00000000" w:rsidR="00000000" w:rsidRPr="00000000">
        <w:rPr>
          <w:rtl w:val="0"/>
        </w:rPr>
        <w:t xml:space="preserve">Sistema Tipográfico y Jerarquía Semántica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utiliza la familia tipográfica **Inter** de Google Fonts (Sans-Serif), configurada con precarga asíncrona para anular desfasajes estructurales de diseño (CLS) durante la carga de las páginas.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H1 (Título General / Logo Sidebar): Inter Bold, 24px (Color Marrón Oscuro). Único por archivo.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H2 (Contexto / Título Sección): Inter Bold, 20px (Color Texto Principal).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H3 (Métricas / Subtítulos): Inter SemiBold/Bold, variable según el componente (Monto destacado: 2rem).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Body / Etiquetas (Inputs y Tablas): Inter Regular, 14px - 16px (Alto Contraste).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9kdlnjv1lty" w:id="2"/>
      <w:bookmarkEnd w:id="2"/>
      <w:r w:rsidDel="00000000" w:rsidR="00000000" w:rsidRPr="00000000">
        <w:rPr>
          <w:rtl w:val="0"/>
        </w:rPr>
        <w:t xml:space="preserve">Componentes y Elementos de Interacción (UI)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Contenedores (Cards): Esquinas suavizadas mediante un `border-radius: 16px` y sombreados mínimos (`rgba(0,0,0,0.05)`) que separan la información por bloques semánticos claros.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Campos de Entrada Gigantes (Huge Inputs): Dimensiones verticales amplias de 68px y fuentes de 2rem para facilitar la carga exacta de números y montos con una sola mano.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Doble Codificación (Daltonismo): Las alertas y métricas financieras combinan color específico (verde/rojo) con iconografía semántica direccional (Material Symbols) y signos matemáticos explícitos (+ / -), asegurando que la comprensión no dependa exclusivamente del color.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