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BUILD LABS 2.0 INTERNSHIP</w:t>
        <w:br/>
      </w:r>
      <w:r>
        <w:rPr>
          <w:b/>
          <w:sz w:val="40"/>
        </w:rPr>
        <w:t>Task 3 — Healthcare Data Analytics</w:t>
        <w:br/>
      </w:r>
      <w:r>
        <w:rPr>
          <w:i/>
        </w:rPr>
        <w:t>Detailed Insights Report &amp; Final Recommendations</w:t>
      </w:r>
    </w:p>
    <w:p>
      <w:pPr>
        <w:jc w:val="center"/>
      </w:pPr>
      <w:r>
        <w:rPr>
          <w:b/>
        </w:rPr>
        <w:t>Healthcare Dataset | Python/Jupyter + Power BI</w:t>
        <w:br/>
      </w:r>
      <w:r>
        <w:t>Prepared for internship submission</w:t>
      </w:r>
    </w:p>
    <w:p>
      <w:pPr>
        <w:pStyle w:val="Heading1"/>
      </w:pPr>
      <w:r>
        <w:t>1. Executive Summary</w:t>
      </w:r>
    </w:p>
    <w:p>
      <w:r>
        <w:t>This project analyzes a synthetic healthcare dataset containing patient, demographic, admission, financial, hospital, treatment and test-result information. The analysis focused on data quality preparation, exploratory analysis, feature engineering and the development of an interactive Power BI dashboard.</w:t>
      </w:r>
    </w:p>
    <w:p>
      <w:r>
        <w:t>After removing 534 duplicate rows and 106 records with negative billing amounts, the working dataset contained 54,860 records. No missing values were identified in the original 15 columns. Date fields were converted to datetime, text fields were standardized, and additional analytical features were created, including Length of Stay, Age Category, Admission Month, Admission Year, Billing Category and a High Billing Flag.</w:t>
      </w:r>
    </w:p>
    <w:p>
      <w:r>
        <w:t>The analysis shows a broadly balanced gender distribution, substantial representation of patients aged 66+, relatively even frequencies across the six medical conditions, balanced admission types, and near-even distributions of test results. Average length of stay was approximately 15.5 days, while average billing was approximately 25.65K in the dashboard view. Because the dataset is synthetic, the findings should be treated as an analytical exercise rather than evidence about real-world patient populations or clinical outcomes.</w:t>
      </w:r>
    </w:p>
    <w:p>
      <w:pPr>
        <w:pStyle w:val="Heading1"/>
      </w:pPr>
      <w:r>
        <w:t>2. Data Preparation and Quality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Finding</w:t>
            </w:r>
          </w:p>
        </w:tc>
        <w:tc>
          <w:tcPr>
            <w:tcW w:type="dxa" w:w="3360"/>
          </w:tcPr>
          <w:p>
            <w:r>
              <w:t>Action</w:t>
            </w:r>
          </w:p>
        </w:tc>
      </w:tr>
      <w:tr>
        <w:tc>
          <w:tcPr>
            <w:tcW w:type="dxa" w:w="3360"/>
          </w:tcPr>
          <w:p>
            <w:r>
              <w:t>Initial dataset</w:t>
            </w:r>
          </w:p>
        </w:tc>
        <w:tc>
          <w:tcPr>
            <w:tcW w:type="dxa" w:w="3360"/>
          </w:tcPr>
          <w:p>
            <w:r>
              <w:t>55,500 rows and 15 columns</w:t>
            </w:r>
          </w:p>
        </w:tc>
        <w:tc>
          <w:tcPr>
            <w:tcW w:type="dxa" w:w="3360"/>
          </w:tcPr>
          <w:p>
            <w:r>
              <w:t>Profiled structure and data types</w:t>
            </w:r>
          </w:p>
        </w:tc>
      </w:tr>
      <w:tr>
        <w:tc>
          <w:tcPr>
            <w:tcW w:type="dxa" w:w="3360"/>
          </w:tcPr>
          <w:p>
            <w:r>
              <w:t>Missing values</w:t>
            </w:r>
          </w:p>
        </w:tc>
        <w:tc>
          <w:tcPr>
            <w:tcW w:type="dxa" w:w="3360"/>
          </w:tcPr>
          <w:p>
            <w:r>
              <w:t>0% missing across all 15 columns</w:t>
            </w:r>
          </w:p>
        </w:tc>
        <w:tc>
          <w:tcPr>
            <w:tcW w:type="dxa" w:w="3360"/>
          </w:tcPr>
          <w:p>
            <w:r>
              <w:t>No imputation required</w:t>
            </w:r>
          </w:p>
        </w:tc>
      </w:tr>
      <w:tr>
        <w:tc>
          <w:tcPr>
            <w:tcW w:type="dxa" w:w="3360"/>
          </w:tcPr>
          <w:p>
            <w:r>
              <w:t>Duplicate rows</w:t>
            </w:r>
          </w:p>
        </w:tc>
        <w:tc>
          <w:tcPr>
            <w:tcW w:type="dxa" w:w="3360"/>
          </w:tcPr>
          <w:p>
            <w:r>
              <w:t>534 duplicates</w:t>
            </w:r>
          </w:p>
        </w:tc>
        <w:tc>
          <w:tcPr>
            <w:tcW w:type="dxa" w:w="3360"/>
          </w:tcPr>
          <w:p>
            <w:r>
              <w:t>Removed duplicate records</w:t>
            </w:r>
          </w:p>
        </w:tc>
      </w:tr>
      <w:tr>
        <w:tc>
          <w:tcPr>
            <w:tcW w:type="dxa" w:w="3360"/>
          </w:tcPr>
          <w:p>
            <w:r>
              <w:t>Billing anomalies</w:t>
            </w:r>
          </w:p>
        </w:tc>
        <w:tc>
          <w:tcPr>
            <w:tcW w:type="dxa" w:w="3360"/>
          </w:tcPr>
          <w:p>
            <w:r>
              <w:t>106 negative billing records</w:t>
            </w:r>
          </w:p>
        </w:tc>
        <w:tc>
          <w:tcPr>
            <w:tcW w:type="dxa" w:w="3360"/>
          </w:tcPr>
          <w:p>
            <w:r>
              <w:t>Removed from analytical dataset</w:t>
            </w:r>
          </w:p>
        </w:tc>
      </w:tr>
      <w:tr>
        <w:tc>
          <w:tcPr>
            <w:tcW w:type="dxa" w:w="3360"/>
          </w:tcPr>
          <w:p>
            <w:r>
              <w:t>Date consistency</w:t>
            </w:r>
          </w:p>
        </w:tc>
        <w:tc>
          <w:tcPr>
            <w:tcW w:type="dxa" w:w="3360"/>
          </w:tcPr>
          <w:p>
            <w:r>
              <w:t>0 discharge dates before admission</w:t>
            </w:r>
          </w:p>
        </w:tc>
        <w:tc>
          <w:tcPr>
            <w:tcW w:type="dxa" w:w="3360"/>
          </w:tcPr>
          <w:p>
            <w:r>
              <w:t>Date logic passed validation</w:t>
            </w:r>
          </w:p>
        </w:tc>
      </w:tr>
      <w:tr>
        <w:tc>
          <w:tcPr>
            <w:tcW w:type="dxa" w:w="3360"/>
          </w:tcPr>
          <w:p>
            <w:r>
              <w:t>Text quality</w:t>
            </w:r>
          </w:p>
        </w:tc>
        <w:tc>
          <w:tcPr>
            <w:tcW w:type="dxa" w:w="3360"/>
          </w:tcPr>
          <w:p>
            <w:r>
              <w:t>Inconsistent casing/whitespace</w:t>
            </w:r>
          </w:p>
        </w:tc>
        <w:tc>
          <w:tcPr>
            <w:tcW w:type="dxa" w:w="3360"/>
          </w:tcPr>
          <w:p>
            <w:r>
              <w:t>Trimmed and title-cased text fields</w:t>
            </w:r>
          </w:p>
        </w:tc>
      </w:tr>
      <w:tr>
        <w:tc>
          <w:tcPr>
            <w:tcW w:type="dxa" w:w="3360"/>
          </w:tcPr>
          <w:p>
            <w:r>
              <w:t>Length of Stay</w:t>
            </w:r>
          </w:p>
        </w:tc>
        <w:tc>
          <w:tcPr>
            <w:tcW w:type="dxa" w:w="3360"/>
          </w:tcPr>
          <w:p>
            <w:r>
              <w:t>1–30 days; mean 15.50 days</w:t>
            </w:r>
          </w:p>
        </w:tc>
        <w:tc>
          <w:tcPr>
            <w:tcW w:type="dxa" w:w="3360"/>
          </w:tcPr>
          <w:p>
            <w:r>
              <w:t>Created from discharge minus admission date</w:t>
            </w:r>
          </w:p>
        </w:tc>
      </w:tr>
      <w:tr>
        <w:tc>
          <w:tcPr>
            <w:tcW w:type="dxa" w:w="3360"/>
          </w:tcPr>
          <w:p>
            <w:r>
              <w:t>Age groups</w:t>
            </w:r>
          </w:p>
        </w:tc>
        <w:tc>
          <w:tcPr>
            <w:tcW w:type="dxa" w:w="3360"/>
          </w:tcPr>
          <w:p>
            <w:r>
              <w:t>Five analytical age categories</w:t>
            </w:r>
          </w:p>
        </w:tc>
        <w:tc>
          <w:tcPr>
            <w:tcW w:type="dxa" w:w="3360"/>
          </w:tcPr>
          <w:p>
            <w:r>
              <w:t>Created for demographic comparisons</w:t>
            </w:r>
          </w:p>
        </w:tc>
      </w:tr>
    </w:tbl>
    <w:p>
      <w:r>
        <w:t>A notable limitation is that the dataset contains no explicit patient identifier beyond synthetic names, and Hospital and Doctor are very high-cardinality fields. In the analysis, many hospitals and doctors occur only once or a few times, which limits the usefulness of simple caseload rankings.</w:t>
      </w:r>
    </w:p>
    <w:p>
      <w:pPr>
        <w:pStyle w:val="Heading1"/>
      </w:pPr>
      <w:r>
        <w:t>3. Patient Demographics &amp; Profile</w:t>
      </w:r>
    </w:p>
    <w:p>
      <w:pPr>
        <w:pStyle w:val="Heading2"/>
      </w:pPr>
      <w:r>
        <w:t>3.1 Age distribution</w:t>
      </w:r>
    </w:p>
    <w:p>
      <w:r>
        <w:t>Patients span approximately ages 13–89. The engineered age groups show that the 66+ group is the largest group in the cleaned analytical data, with 16,889 records, followed by 19–35 with 13,458, 51–65 with 12,266, and 36–50 with 12,131. The 0–18 group is very small at 116 records. This indicates that the dataset is concentrated in adult and older patient records rather than pediatric cases.</w:t>
      </w:r>
    </w:p>
    <w:p>
      <w:pPr>
        <w:pStyle w:val="Heading2"/>
      </w:pPr>
      <w:r>
        <w:t>3.2 Gender distribution</w:t>
      </w:r>
    </w:p>
    <w:p>
      <w:r>
        <w:t>The gender distribution is almost perfectly balanced: Male = 27,449 records and Female = 27,411 records. Therefore, the dataset does not show a meaningful gender imbalance.</w:t>
      </w:r>
    </w:p>
    <w:p>
      <w:pPr>
        <w:pStyle w:val="Heading2"/>
      </w:pPr>
      <w:r>
        <w:t>3.3 Blood type and medical condition</w:t>
      </w:r>
    </w:p>
    <w:p>
      <w:r>
        <w:t>The blood-type/condition analysis used a normalized cross-tabulation and a heatmap. The dashboard also reports recovery/test-result rates by blood type and condition. The results show variation between combinations, but the analysis does not establish a causal or clinically meaningful relationship between blood type and disease. Given the synthetic nature of the dataset, these differences should be treated as descriptive patterns.</w:t>
      </w:r>
    </w:p>
    <w:p>
      <w:pPr>
        <w:pStyle w:val="Heading1"/>
      </w:pPr>
      <w:r>
        <w:t>4. Medical Conditions &amp; Diagnosis Trends</w:t>
      </w:r>
    </w:p>
    <w:p>
      <w:r>
        <w:t>The six medical conditions are distributed relatively evenly. Counts in the cleaned data were: Arthritis 9,207; Diabetes 9,197; Hypertension 9,131; Obesity 9,127; Cancer 9,121; and Asthma 9,077. Arthritis therefore has the largest count, while Asthma has the smallest, but the differences are modest.</w:t>
      </w:r>
    </w:p>
    <w:p>
      <w:r>
        <w:t>Across age groups, the 66+ group contains the largest number of records for each condition in the dashboard analysis. The age-by-condition table shows, for example, higher counts for Cancer and Hypertension among the 66+ group than among younger groups. This suggests that older patients represent an important segment for resource planning within this dataset.</w:t>
      </w:r>
    </w:p>
    <w:p>
      <w:r>
        <w:t>The blood-type analysis similarly shows differences in condition distributions and test-result rates across blood types. However, no statistical test was performed, so the results should not be interpreted as evidence that blood type causes or predicts a particular condition.</w:t>
      </w:r>
    </w:p>
    <w:p>
      <w:pPr>
        <w:pStyle w:val="Heading1"/>
      </w:pPr>
      <w:r>
        <w:t>5. Admissions &amp; Discharge Patterns</w:t>
      </w:r>
    </w:p>
    <w:p>
      <w:r>
        <w:t>Admissions occurred from May 2019 through May 2024 in the cleaned dataset. Annual admission counts were 7,280 in 2019, 11,157 in 2020, 10,795 in 2021, 10,891 in 2022, 10,918 in 2023 and 3,819 in 2024. The lower 2019 and 2024 values are partly consistent with the dataset covering only portions of those years.</w:t>
      </w:r>
    </w:p>
    <w:p>
      <w:r>
        <w:t>Admission type was broadly balanced: Elective 18,437; Urgent 18,353; Emergency 18,070. Elective admissions were therefore the most frequent category in the cleaned data, although the difference from Urgent and Emergency admissions is small.</w:t>
      </w:r>
    </w:p>
    <w:p>
      <w:r>
        <w:t>Length of stay ranged from 1 to 30 days, with a mean of 15.50 days, median of 15 days and standard deviation of approximately 8.66 days. The dashboard reports an overall average length of stay of about 15.46 days in its displayed view. Average length of stay should therefore be considered approximately 15.5 days.</w:t>
      </w:r>
    </w:p>
    <w:p>
      <w:r>
        <w:t>The monthly analysis identified August (4,777 admissions) and July (4,762) as the two highest months by admission count, while February had the lowest count (4,199). This indicates some monthly variation, although a formal seasonality test was not performed.</w:t>
      </w:r>
    </w:p>
    <w:p>
      <w:pPr>
        <w:pStyle w:val="Heading1"/>
      </w:pPr>
      <w:r>
        <w:t>6. Financial &amp; Insurance Analysis</w:t>
      </w:r>
    </w:p>
    <w:p>
      <w:r>
        <w:t>Total billing by medical condition was relatively similar across conditions. Diabetes had the highest aggregate billing at approximately 236.49M, followed by Obesity at 236.02M and Arthritis at 235.17M. Cancer had the lowest aggregate billing at approximately 229.90M.</w:t>
      </w:r>
    </w:p>
    <w:p>
      <w:r>
        <w:t>Average billing per condition was also relatively close, with Diabetes at approximately 25.71K and Obesity at approximately 25.86K in the notebook results. These differences should be interpreted together with patient counts because total billing depends on both case volume and billing per case.</w:t>
      </w:r>
    </w:p>
    <w:p>
      <w:r>
        <w:t>Insurance coverage was broadly distributed across five providers. Cigna accounted for 11,115 records, Medicare 11,018, UnitedHealthcare 10,995, Blue Cross 10,937 and Aetna 10,795. Cigna therefore had the highest patient count in the notebook analysis, although the differences were relatively small.</w:t>
      </w:r>
    </w:p>
    <w:p>
      <w:r>
        <w:t>A boxplot was used to compare billing amounts across admission types. The dashboard also includes average/total billing and high-billing cases. The existing analysis demonstrates that admission type can be compared with billing, but it does not establish causation.</w:t>
      </w:r>
    </w:p>
    <w:p>
      <w:pPr>
        <w:pStyle w:val="Heading1"/>
      </w:pPr>
      <w:r>
        <w:t>7. Hospital &amp; Doctor Performance</w:t>
      </w:r>
    </w:p>
    <w:p>
      <w:r>
        <w:t>Hospital and doctor fields contain very high numbers of unique names. In the notebook, 39,815 unique hospital values and 40,276 unique doctor values were observed in the cleaned data. This means many hospitals and doctors have only one or a few records.</w:t>
      </w:r>
    </w:p>
    <w:p>
      <w:r>
        <w:t>The dashboard therefore presents top hospitals by patient volume and a doctor caseload table. Examples from the displayed doctor table include John Smith with 9 patients, Christopher Smith with 8, Michael Smith with 8, Michael Williams with 8 and Robert Smith with 8.</w:t>
      </w:r>
    </w:p>
    <w:p>
      <w:r>
        <w:t>Because of the extremely high cardinality and low observations per provider, the current analysis should not be used to judge provider performance or quality. Differences in test results by hospital are descriptive only and require adequate case volume and statistical adjustment before any performance conclusion could be made.</w:t>
      </w:r>
    </w:p>
    <w:p>
      <w:pPr>
        <w:pStyle w:val="Heading1"/>
      </w:pPr>
      <w:r>
        <w:t>8. Treatment &amp; Outcomes</w:t>
      </w:r>
    </w:p>
    <w:p>
      <w:r>
        <w:t>Test results were almost evenly distributed: Abnormal 18,399 (33.54%), Normal 18,302 (33.36%), and Inconclusive 18,159 (33.10%) approximately. The Power BI dashboard displays the same near-even distribution at about 33% per category.</w:t>
      </w:r>
    </w:p>
    <w:p>
      <w:r>
        <w:t>Using Normal test results as the project's recovery proxy, the condition-level rates were: Asthma 34.30%, Hypertension 33.96%, Diabetes 33.26%, Obesity 33.14%, Cancer 33.01% and Arthritis 32.51%. These are descriptive 'normal test result rates' rather than clinical recovery rates, because the dataset does not define clinical recovery as an outcome.</w:t>
      </w:r>
    </w:p>
    <w:p>
      <w:r>
        <w:t>The most common medication by condition identified in the analysis was: Arthritis—Aspirin; Asthma—Paracetamol; Cancer—Lipitor; Diabetes—Lipitor; Hypertension—Ibuprofen; Obesity—Penicillin. These associations describe frequency in this synthetic dataset and should not be interpreted as prescribing recommendations.</w:t>
      </w:r>
    </w:p>
    <w:p>
      <w:pPr>
        <w:pStyle w:val="Heading1"/>
      </w:pPr>
      <w:r>
        <w:t>9. Operational Insights</w:t>
      </w:r>
    </w:p>
    <w:p>
      <w:r>
        <w:t>The monthly analysis indicates August and July as the highest-volume months, while February has the lowest monthly count. This suggests that operational planning can use historical monthly volume as one input when considering staffing and capacity.</w:t>
      </w:r>
    </w:p>
    <w:p>
      <w:r>
        <w:t>The 66+ age group is the largest patient segment in the engineered age categories and also shows the highest condition counts across the dashboard's age-by-condition table. The overall average length of stay is about 15.5 days. These patterns indicate that older-adult capacity and longer-stay planning deserve attention within the dataset.</w:t>
      </w:r>
    </w:p>
    <w:p>
      <w:r>
        <w:t>The current dashboard includes room/outcome-related analysis only indirectly; a definitive relationship between room allocation and test outcomes was not established in the notebook. No causal conclusion should therefore be drawn from room number alone.</w:t>
      </w:r>
    </w:p>
    <w:p>
      <w:pPr>
        <w:pStyle w:val="Heading1"/>
      </w:pPr>
      <w:r>
        <w:t>10. Future Trends &amp; Predictive Insights</w:t>
      </w:r>
    </w:p>
    <w:p>
      <w:r>
        <w:t>The dashboard includes a monthly admissions trend with a projection and a High Billing Flag based on the upper quartile of billing amounts. These features provide an initial predictive direction, but they should not be described as a validated machine-learning prediction model.</w:t>
      </w:r>
    </w:p>
    <w:p>
      <w:r>
        <w:t>The available analysis supports the following planning signals: historical admissions vary by month; the 66+ group is the largest age segment; and high billing can be flagged using the upper-quartile threshold. However, the current work does not establish reliable forecasts of future condition incidence, future hospital/department loads, frequent-admission risk, or high-billing probability using a validated predictive model.</w:t>
      </w:r>
    </w:p>
    <w:p>
      <w:r>
        <w:t>For a future enhancement, forecasting could be evaluated using a time-series model with a proper train/test split, while high-billing risk could be modeled using logistic regression or another interpretable classification method. Those extensions are outside the evidence presented in the current submission and should be treated as future work.</w:t>
      </w:r>
    </w:p>
    <w:p>
      <w:pPr>
        <w:pStyle w:val="Heading1"/>
      </w:pPr>
      <w:r>
        <w:t>11. Final Recommendations</w:t>
      </w:r>
    </w:p>
    <w:p>
      <w:pPr>
        <w:pStyle w:val="ListNumber"/>
      </w:pPr>
      <w:r>
        <w:rPr>
          <w:b/>
        </w:rPr>
        <w:t xml:space="preserve">Plan capacity around historical peaks: </w:t>
      </w:r>
      <w:r>
        <w:t>Use monthly admission patterns as one input to staffing, bed and operational planning, with particular attention to higher-volume months such as July and August.</w:t>
      </w:r>
    </w:p>
    <w:p>
      <w:pPr>
        <w:pStyle w:val="ListNumber"/>
      </w:pPr>
      <w:r>
        <w:rPr>
          <w:b/>
        </w:rPr>
        <w:t xml:space="preserve">Prioritize older-patient capacity planning: </w:t>
      </w:r>
      <w:r>
        <w:t>The 66+ group is the largest age segment and has the highest condition counts in the dashboard analysis. Planning should therefore account for the needs of this group within the dataset.</w:t>
      </w:r>
    </w:p>
    <w:p>
      <w:pPr>
        <w:pStyle w:val="ListNumber"/>
      </w:pPr>
      <w:r>
        <w:rPr>
          <w:b/>
        </w:rPr>
        <w:t xml:space="preserve">Monitor length of stay: </w:t>
      </w:r>
      <w:r>
        <w:t>Use the approximately 15.5-day average as a baseline and monitor conditions, admission types and patient segments associated with longer stays.</w:t>
      </w:r>
    </w:p>
    <w:p>
      <w:pPr>
        <w:pStyle w:val="ListNumber"/>
      </w:pPr>
      <w:r>
        <w:rPr>
          <w:b/>
        </w:rPr>
        <w:t xml:space="preserve">Track billing concentration and high-cost cases: </w:t>
      </w:r>
      <w:r>
        <w:t>Use the High Billing Flag as an initial monitoring mechanism and investigate the characteristics of high-billing cases before making resource or financial decisions.</w:t>
      </w:r>
    </w:p>
    <w:p>
      <w:pPr>
        <w:pStyle w:val="ListNumber"/>
      </w:pPr>
      <w:r>
        <w:rPr>
          <w:b/>
        </w:rPr>
        <w:t xml:space="preserve">Use condition-level financial monitoring: </w:t>
      </w:r>
      <w:r>
        <w:t>Compare total billing and average billing together rather than relying on total billing alone, because aggregate cost is influenced by both case volume and average charge.</w:t>
      </w:r>
    </w:p>
    <w:p>
      <w:pPr>
        <w:pStyle w:val="ListNumber"/>
      </w:pPr>
      <w:r>
        <w:rPr>
          <w:b/>
        </w:rPr>
        <w:t xml:space="preserve">Treat provider comparisons cautiously: </w:t>
      </w:r>
      <w:r>
        <w:t>Hospital and doctor fields have extremely high cardinality. Provider dashboards should require minimum case-volume thresholds before performance comparisons are made.</w:t>
      </w:r>
    </w:p>
    <w:p>
      <w:pPr>
        <w:pStyle w:val="ListNumber"/>
      </w:pPr>
      <w:r>
        <w:rPr>
          <w:b/>
        </w:rPr>
        <w:t xml:space="preserve">Use dashboard filters for operational exploration: </w:t>
      </w:r>
      <w:r>
        <w:t>The interactive date, admission type, gender, insurance and condition filters should be used to investigate changes in patient mix and billing before decisions are made.</w:t>
      </w:r>
    </w:p>
    <w:p>
      <w:pPr>
        <w:pStyle w:val="ListNumber"/>
      </w:pPr>
      <w:r>
        <w:rPr>
          <w:b/>
        </w:rPr>
        <w:t xml:space="preserve">Validate predictive models before operational use: </w:t>
      </w:r>
      <w:r>
        <w:t>Any future admission, high-billing or resource-load prediction should be validated on historical holdout data and evaluated for accuracy and stability before being used for planning.</w:t>
      </w:r>
    </w:p>
    <w:p>
      <w:pPr>
        <w:pStyle w:val="Heading1"/>
      </w:pPr>
      <w:r>
        <w:t>12. Limitations</w:t>
      </w:r>
    </w:p>
    <w:p>
      <w:pPr>
        <w:pStyle w:val="ListBullet"/>
      </w:pPr>
      <w:r>
        <w:t>The dataset is synthetic and contains no real patient data; findings therefore cannot be generalized to actual hospitals or patient populations.</w:t>
      </w:r>
    </w:p>
    <w:p>
      <w:pPr>
        <w:pStyle w:val="ListBullet"/>
      </w:pPr>
      <w:r>
        <w:t>The dataset contains unusually high-cardinality Hospital and Doctor fields, with many providers represented by very few records.</w:t>
      </w:r>
    </w:p>
    <w:p>
      <w:pPr>
        <w:pStyle w:val="ListBullet"/>
      </w:pPr>
      <w:r>
        <w:t>The analysis uses Normal test results as a proxy for 'recovery'; this is a project-defined analytical proxy, not a clinical recovery measure.</w:t>
      </w:r>
    </w:p>
    <w:p>
      <w:pPr>
        <w:pStyle w:val="ListBullet"/>
      </w:pPr>
      <w:r>
        <w:t>The current work does not include formal statistical significance testing for blood-type/condition relationships or hospital/doctor outcome differences.</w:t>
      </w:r>
    </w:p>
    <w:p>
      <w:pPr>
        <w:pStyle w:val="ListBullet"/>
      </w:pPr>
      <w:r>
        <w:t>The current predictive work is exploratory and should not be represented as a validated clinical or operational prediction system.</w:t>
      </w:r>
    </w:p>
    <w:p>
      <w:pPr>
        <w:pStyle w:val="ListBullet"/>
      </w:pPr>
      <w:r>
        <w:t>The dashboard screenshots can display filtered subsets of the data. KPI values should therefore always be interpreted together with the active filter selections.</w:t>
      </w:r>
    </w:p>
    <w:p>
      <w:pPr>
        <w:pStyle w:val="Heading1"/>
      </w:pPr>
      <w:r>
        <w:t>13. Conclusion</w:t>
      </w:r>
    </w:p>
    <w:p>
      <w:r>
        <w:t>This project demonstrates an end-to-end healthcare analytics workflow: data profiling, cleaning, feature engineering, exploratory analysis, business-question analysis and interactive dashboard development. The strongest operational signals in the current analysis are the near-balanced admission types, the large 66+ patient segment, approximately 15.5 days average length of stay, near-even test-result distribution, and relatively similar billing levels across medical conditions.</w:t>
      </w:r>
    </w:p>
    <w:p>
      <w:r>
        <w:t>The dashboard converts these findings into an interactive view that can be filtered by admission date, admission type, gender, insurance provider and medical condition. The next logical portfolio iteration would be to strengthen predictive analysis, add statistical validation, improve provider performance methodology, and develop a clearer executive narrative around capacity, cost and patient flow.</w:t>
      </w:r>
    </w:p>
    <w:p>
      <w:pPr>
        <w:pStyle w:val="Heading1"/>
      </w:pPr>
      <w:r>
        <w:t>Appendix — Key Figures Used</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Initial records</w:t>
            </w:r>
          </w:p>
        </w:tc>
        <w:tc>
          <w:tcPr>
            <w:tcW w:type="dxa" w:w="5040"/>
          </w:tcPr>
          <w:p>
            <w:r>
              <w:t>55,500</w:t>
            </w:r>
          </w:p>
        </w:tc>
      </w:tr>
      <w:tr>
        <w:tc>
          <w:tcPr>
            <w:tcW w:type="dxa" w:w="5040"/>
          </w:tcPr>
          <w:p>
            <w:r>
              <w:t>Duplicates removed</w:t>
            </w:r>
          </w:p>
        </w:tc>
        <w:tc>
          <w:tcPr>
            <w:tcW w:type="dxa" w:w="5040"/>
          </w:tcPr>
          <w:p>
            <w:r>
              <w:t>534</w:t>
            </w:r>
          </w:p>
        </w:tc>
      </w:tr>
      <w:tr>
        <w:tc>
          <w:tcPr>
            <w:tcW w:type="dxa" w:w="5040"/>
          </w:tcPr>
          <w:p>
            <w:r>
              <w:t>Negative billing records removed</w:t>
            </w:r>
          </w:p>
        </w:tc>
        <w:tc>
          <w:tcPr>
            <w:tcW w:type="dxa" w:w="5040"/>
          </w:tcPr>
          <w:p>
            <w:r>
              <w:t>106</w:t>
            </w:r>
          </w:p>
        </w:tc>
      </w:tr>
      <w:tr>
        <w:tc>
          <w:tcPr>
            <w:tcW w:type="dxa" w:w="5040"/>
          </w:tcPr>
          <w:p>
            <w:r>
              <w:t>Final analytical records</w:t>
            </w:r>
          </w:p>
        </w:tc>
        <w:tc>
          <w:tcPr>
            <w:tcW w:type="dxa" w:w="5040"/>
          </w:tcPr>
          <w:p>
            <w:r>
              <w:t>54,860</w:t>
            </w:r>
          </w:p>
        </w:tc>
      </w:tr>
      <w:tr>
        <w:tc>
          <w:tcPr>
            <w:tcW w:type="dxa" w:w="5040"/>
          </w:tcPr>
          <w:p>
            <w:r>
              <w:t>Missing values</w:t>
            </w:r>
          </w:p>
        </w:tc>
        <w:tc>
          <w:tcPr>
            <w:tcW w:type="dxa" w:w="5040"/>
          </w:tcPr>
          <w:p>
            <w:r>
              <w:t>0%</w:t>
            </w:r>
          </w:p>
        </w:tc>
      </w:tr>
      <w:tr>
        <w:tc>
          <w:tcPr>
            <w:tcW w:type="dxa" w:w="5040"/>
          </w:tcPr>
          <w:p>
            <w:r>
              <w:t>Average length of stay</w:t>
            </w:r>
          </w:p>
        </w:tc>
        <w:tc>
          <w:tcPr>
            <w:tcW w:type="dxa" w:w="5040"/>
          </w:tcPr>
          <w:p>
            <w:r>
              <w:t>15.50 days</w:t>
            </w:r>
          </w:p>
        </w:tc>
      </w:tr>
      <w:tr>
        <w:tc>
          <w:tcPr>
            <w:tcW w:type="dxa" w:w="5040"/>
          </w:tcPr>
          <w:p>
            <w:r>
              <w:t>Median length of stay</w:t>
            </w:r>
          </w:p>
        </w:tc>
        <w:tc>
          <w:tcPr>
            <w:tcW w:type="dxa" w:w="5040"/>
          </w:tcPr>
          <w:p>
            <w:r>
              <w:t>15 days</w:t>
            </w:r>
          </w:p>
        </w:tc>
      </w:tr>
      <w:tr>
        <w:tc>
          <w:tcPr>
            <w:tcW w:type="dxa" w:w="5040"/>
          </w:tcPr>
          <w:p>
            <w:r>
              <w:t>Male / Female</w:t>
            </w:r>
          </w:p>
        </w:tc>
        <w:tc>
          <w:tcPr>
            <w:tcW w:type="dxa" w:w="5040"/>
          </w:tcPr>
          <w:p>
            <w:r>
              <w:t>27,449 / 27,411</w:t>
            </w:r>
          </w:p>
        </w:tc>
      </w:tr>
      <w:tr>
        <w:tc>
          <w:tcPr>
            <w:tcW w:type="dxa" w:w="5040"/>
          </w:tcPr>
          <w:p>
            <w:r>
              <w:t>Highest condition count</w:t>
            </w:r>
          </w:p>
        </w:tc>
        <w:tc>
          <w:tcPr>
            <w:tcW w:type="dxa" w:w="5040"/>
          </w:tcPr>
          <w:p>
            <w:r>
              <w:t>Arthritis — 9,207</w:t>
            </w:r>
          </w:p>
        </w:tc>
      </w:tr>
      <w:tr>
        <w:tc>
          <w:tcPr>
            <w:tcW w:type="dxa" w:w="5040"/>
          </w:tcPr>
          <w:p>
            <w:r>
              <w:t>Most frequent admission type</w:t>
            </w:r>
          </w:p>
        </w:tc>
        <w:tc>
          <w:tcPr>
            <w:tcW w:type="dxa" w:w="5040"/>
          </w:tcPr>
          <w:p>
            <w:r>
              <w:t>Elective — 18,437</w:t>
            </w:r>
          </w:p>
        </w:tc>
      </w:tr>
      <w:tr>
        <w:tc>
          <w:tcPr>
            <w:tcW w:type="dxa" w:w="5040"/>
          </w:tcPr>
          <w:p>
            <w:r>
              <w:t>Highest aggregate condition billing</w:t>
            </w:r>
          </w:p>
        </w:tc>
        <w:tc>
          <w:tcPr>
            <w:tcW w:type="dxa" w:w="5040"/>
          </w:tcPr>
          <w:p>
            <w:r>
              <w:t>Diabetes — ~236.49M</w:t>
            </w:r>
          </w:p>
        </w:tc>
      </w:tr>
      <w:tr>
        <w:tc>
          <w:tcPr>
            <w:tcW w:type="dxa" w:w="5040"/>
          </w:tcPr>
          <w:p>
            <w:r>
              <w:t>Highest insurance patient count</w:t>
            </w:r>
          </w:p>
        </w:tc>
        <w:tc>
          <w:tcPr>
            <w:tcW w:type="dxa" w:w="5040"/>
          </w:tcPr>
          <w:p>
            <w:r>
              <w:t>Cigna — 11,115</w:t>
            </w:r>
          </w:p>
        </w:tc>
      </w:tr>
      <w:tr>
        <w:tc>
          <w:tcPr>
            <w:tcW w:type="dxa" w:w="5040"/>
          </w:tcPr>
          <w:p>
            <w:r>
              <w:t>Abnormal / Normal / Inconclusive</w:t>
            </w:r>
          </w:p>
        </w:tc>
        <w:tc>
          <w:tcPr>
            <w:tcW w:type="dxa" w:w="5040"/>
          </w:tcPr>
          <w:p>
            <w:r>
              <w:t>18,399 / 18,302 / 18,159</w:t>
            </w:r>
          </w:p>
        </w:tc>
      </w:tr>
      <w:tr>
        <w:tc>
          <w:tcPr>
            <w:tcW w:type="dxa" w:w="5040"/>
          </w:tcPr>
          <w:p>
            <w:r>
              <w:t>Highest normal-test proxy rate</w:t>
            </w:r>
          </w:p>
        </w:tc>
        <w:tc>
          <w:tcPr>
            <w:tcW w:type="dxa" w:w="5040"/>
          </w:tcPr>
          <w:p>
            <w:r>
              <w:t>Asthma — 34.30%</w:t>
            </w:r>
          </w:p>
        </w:tc>
      </w:tr>
      <w:tr>
        <w:tc>
          <w:tcPr>
            <w:tcW w:type="dxa" w:w="5040"/>
          </w:tcPr>
          <w:p>
            <w:r>
              <w:t>Largest age category</w:t>
            </w:r>
          </w:p>
        </w:tc>
        <w:tc>
          <w:tcPr>
            <w:tcW w:type="dxa" w:w="5040"/>
          </w:tcPr>
          <w:p>
            <w:r>
              <w:t>66+ — 16,889</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