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F8" w:rsidRPr="001347F9" w:rsidRDefault="00A817F8" w:rsidP="00A817F8">
      <w:pPr>
        <w:spacing w:before="0"/>
        <w:ind w:left="0"/>
        <w:rPr>
          <w:b/>
          <w:color w:val="4F81BD" w:themeColor="accent1"/>
          <w:sz w:val="10"/>
          <w:szCs w:val="10"/>
        </w:rPr>
      </w:pPr>
      <w:r w:rsidRPr="001347F9">
        <w:rPr>
          <w:b/>
          <w:color w:val="4F81BD" w:themeColor="accent1"/>
          <w:sz w:val="10"/>
          <w:szCs w:val="10"/>
        </w:rPr>
        <w:t>Telekomunikacijski vodovi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Stalne zračne linije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 xml:space="preserve">Simetrični vodovi s vodičima od Si-bronce 3mm ili 2mm, na keramičkim </w:t>
      </w:r>
      <w:r w:rsidRPr="00A817F8">
        <w:rPr>
          <w:rFonts w:ascii="Cambria Math" w:hAnsi="Cambria Math" w:cs="Cambria Math"/>
          <w:sz w:val="10"/>
          <w:szCs w:val="10"/>
        </w:rPr>
        <w:t>∅</w:t>
      </w:r>
      <w:r w:rsidRPr="00A817F8">
        <w:rPr>
          <w:rFonts w:ascii="Calibri" w:hAnsi="Calibri" w:cs="Calibri"/>
          <w:sz w:val="10"/>
          <w:szCs w:val="10"/>
        </w:rPr>
        <w:t xml:space="preserve"> </w:t>
      </w:r>
      <w:r w:rsidRPr="00A817F8">
        <w:rPr>
          <w:rFonts w:ascii="Cambria Math" w:hAnsi="Cambria Math" w:cs="Cambria Math"/>
          <w:sz w:val="10"/>
          <w:szCs w:val="10"/>
        </w:rPr>
        <w:t>∅</w:t>
      </w:r>
      <w:r w:rsidRPr="00A817F8">
        <w:rPr>
          <w:rFonts w:ascii="Calibri" w:hAnsi="Calibri" w:cs="Calibri"/>
          <w:sz w:val="10"/>
          <w:szCs w:val="10"/>
        </w:rPr>
        <w:t xml:space="preserve"> ili staklenim izolatorima i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drvenim stupovima visine 5m do 8 m. Korišteni frekvencijski pojas linije je od 0 Hz (DC) do oko 150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kHz</w:t>
      </w:r>
      <w:r w:rsidRPr="001347F9">
        <w:rPr>
          <w:color w:val="4F81BD" w:themeColor="accent1"/>
          <w:sz w:val="10"/>
          <w:szCs w:val="10"/>
        </w:rPr>
        <w:t>.</w:t>
      </w:r>
      <w:r w:rsidR="00E3009E" w:rsidRPr="001347F9">
        <w:rPr>
          <w:color w:val="4F81BD" w:themeColor="accent1"/>
          <w:sz w:val="10"/>
          <w:szCs w:val="10"/>
        </w:rPr>
        <w:t xml:space="preserve"> </w:t>
      </w:r>
      <w:r w:rsidRPr="001347F9">
        <w:rPr>
          <w:b/>
          <w:color w:val="4F81BD" w:themeColor="accent1"/>
          <w:sz w:val="10"/>
          <w:szCs w:val="10"/>
        </w:rPr>
        <w:t>Simetrični kabel</w:t>
      </w:r>
      <w:r w:rsidRPr="00A817F8">
        <w:rPr>
          <w:sz w:val="10"/>
          <w:szCs w:val="10"/>
        </w:rPr>
        <w:t xml:space="preserve"> tvore “parice” s električnim parametrima simetričnim u odnosu na okolinu.Paricu tvore dva bakrena vodiča promjera 0,4mm do 1,2 mm, izolirana (papirom), PVC-om, polietilenom,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teflonom... Vodiči parice upredeni (použeni) su međusobno, a dvije parice upredaju se u jednu simetričnu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“četvorku”. Kabel sadrži od jedne do više stotina četvorki. Kabeli se ukapaju u tlo, postavljaju po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stupovima kao tzv. samonosivi kabeli, ili su u objektima (instalacijski).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Nisko-frekvencijski kabeli namijenjeni su za frekvencijski pojas do nekoliko desetaka kHz, a koriste se za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povezivanje telefonskih terminala s komutacijskim čvorištima (pretplatnička mreža). Visokofrekvencijski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kabeli s dovoljno malim gušenjem propuštaju signale od 0 Hz do 250 kHz ili čak do 560 kHz. Suvremeni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telekomunikacijski sustavi (ADSL, SDSL, VDSL) ruše ove norme</w:t>
      </w:r>
      <w:r w:rsidRPr="001347F9">
        <w:rPr>
          <w:color w:val="4F81BD" w:themeColor="accent1"/>
          <w:sz w:val="10"/>
          <w:szCs w:val="10"/>
        </w:rPr>
        <w:t>.</w:t>
      </w:r>
      <w:r w:rsidR="001347F9" w:rsidRPr="001347F9">
        <w:rPr>
          <w:color w:val="4F81BD" w:themeColor="accent1"/>
          <w:sz w:val="10"/>
          <w:szCs w:val="10"/>
        </w:rPr>
        <w:t xml:space="preserve"> </w:t>
      </w:r>
      <w:r w:rsidRPr="001347F9">
        <w:rPr>
          <w:b/>
          <w:color w:val="4F81BD" w:themeColor="accent1"/>
          <w:sz w:val="10"/>
          <w:szCs w:val="10"/>
        </w:rPr>
        <w:t>Koaksijalni kabel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U odnosu na okolinu, nesimetrični su: unutarnji bakreni vodičpromjera 0,4 mm ili većeg, izolacijski sloj</w:t>
      </w:r>
      <w:r w:rsidR="001347F9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od punog polietilena ili polietilenskih prstena, spirale ili slično; vanjski vodič od bakrene trake debljine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0,2 mm, bakrenog opleta, aluminijske folije ili kombinirano.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Jednim koaksijalnim vodom prenose se signali u frekvencijskom pojasu od 150 kHz do 12 MHz.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Karakteristična impedancija kabela ovisna je o frekvenciji, osobito u području niskih frekvencija, te je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donja granična frekvencija reda 150 kHz.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Koristio se i za lokalne računalne mreže (LAN). Koaksijalni kabeli raznolikih konstrukcija koriste se u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radiokomunikacijskim sustavima.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1347F9">
        <w:rPr>
          <w:b/>
          <w:color w:val="4F81BD" w:themeColor="accent1"/>
          <w:sz w:val="10"/>
          <w:szCs w:val="10"/>
        </w:rPr>
        <w:t>Optički kabel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Optički kabeli fizički su telekomunikacijski vodovi sadašnjosti i budućnosti.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Optičke niti (vlakna) načinjena su od stakla ili, rjeđe, od plastike, te ne vode električnu struju.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Vode svjetlosne impulse generirane laserom ili LED-om, te je optička nit u biti, valovod.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Središnji dio niti, promjera 9 μm do 62,5 μmod stakla je jednog indeksa loma, oko kojega je omotač od</w:t>
      </w:r>
    </w:p>
    <w:p w:rsidR="00A817F8" w:rsidRPr="00A817F8" w:rsidRDefault="00A817F8" w:rsidP="00A817F8">
      <w:pPr>
        <w:spacing w:before="0"/>
        <w:ind w:left="0"/>
        <w:rPr>
          <w:sz w:val="10"/>
          <w:szCs w:val="10"/>
        </w:rPr>
      </w:pPr>
      <w:r w:rsidRPr="00A817F8">
        <w:rPr>
          <w:sz w:val="10"/>
          <w:szCs w:val="10"/>
        </w:rPr>
        <w:t>stakla manjeg indeksa loma, te nastupa potpuna refleksija svjetlosnog vala</w:t>
      </w:r>
      <w:r w:rsidRPr="001347F9">
        <w:rPr>
          <w:b/>
          <w:sz w:val="10"/>
          <w:szCs w:val="10"/>
        </w:rPr>
        <w:t>.</w:t>
      </w:r>
      <w:r w:rsidR="00E3009E" w:rsidRPr="001347F9">
        <w:rPr>
          <w:b/>
          <w:sz w:val="10"/>
          <w:szCs w:val="10"/>
        </w:rPr>
        <w:t xml:space="preserve"> </w:t>
      </w:r>
      <w:r w:rsidRPr="001347F9">
        <w:rPr>
          <w:b/>
          <w:color w:val="4F81BD" w:themeColor="accent1"/>
          <w:sz w:val="10"/>
          <w:szCs w:val="10"/>
        </w:rPr>
        <w:t>Kritični kut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Iz prostornog kutnog sektora manjeg od kritičnog kuta Θ0 sva energija svjetlosnog impulsa ulazi u optičku</w:t>
      </w:r>
    </w:p>
    <w:p w:rsidR="00A817F8" w:rsidRDefault="00A817F8" w:rsidP="00A817F8">
      <w:pPr>
        <w:spacing w:before="0" w:line="240" w:lineRule="auto"/>
        <w:ind w:left="0"/>
      </w:pPr>
      <w:r w:rsidRPr="00A817F8">
        <w:rPr>
          <w:sz w:val="10"/>
          <w:szCs w:val="10"/>
        </w:rPr>
        <w:t>nit. Ako je upadni kut veći od Θ0 , dio svjetlosnog impulsa se reflektira van niti, a dio se izgubi u plaštu.</w:t>
      </w:r>
      <w:r w:rsidRPr="00A817F8">
        <w:t xml:space="preserve"> 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1347F9">
        <w:rPr>
          <w:b/>
          <w:color w:val="4F81BD" w:themeColor="accent1"/>
          <w:sz w:val="10"/>
          <w:szCs w:val="10"/>
        </w:rPr>
        <w:t>Žičani kabeli</w:t>
      </w:r>
      <w:r w:rsidR="001347F9">
        <w:rPr>
          <w:b/>
          <w:sz w:val="10"/>
          <w:szCs w:val="10"/>
        </w:rPr>
        <w:t xml:space="preserve"> 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Žičane telekomunikacijske kabele, moguće je opisati električnim karakteristikama: primarni parametri i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sekundarni parametri</w:t>
      </w:r>
      <w:r w:rsidRPr="001347F9">
        <w:rPr>
          <w:color w:val="4F81BD" w:themeColor="accent1"/>
          <w:sz w:val="10"/>
          <w:szCs w:val="10"/>
        </w:rPr>
        <w:t>.</w:t>
      </w:r>
      <w:r w:rsidR="00E3009E" w:rsidRPr="001347F9">
        <w:rPr>
          <w:color w:val="4F81BD" w:themeColor="accent1"/>
          <w:sz w:val="10"/>
          <w:szCs w:val="10"/>
        </w:rPr>
        <w:t xml:space="preserve"> </w:t>
      </w:r>
      <w:r w:rsidRPr="001347F9">
        <w:rPr>
          <w:b/>
          <w:color w:val="4F81BD" w:themeColor="accent1"/>
          <w:sz w:val="10"/>
          <w:szCs w:val="10"/>
        </w:rPr>
        <w:t>Primarni parametri</w:t>
      </w:r>
      <w:r w:rsidRPr="00A817F8">
        <w:rPr>
          <w:sz w:val="10"/>
          <w:szCs w:val="10"/>
        </w:rPr>
        <w:t xml:space="preserve"> definirani su po jedinici duljine kabela : Otpor vodiča - R [Ω/km]; Induktivitet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vodiča - L [H/km]; Vodljivost izolacije - G [S/km]; Kapacitet među vodičima - C [F/km].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 xml:space="preserve">Za primjenu, važniji su </w:t>
      </w:r>
      <w:r w:rsidRPr="001347F9">
        <w:rPr>
          <w:b/>
          <w:color w:val="4F81BD" w:themeColor="accent1"/>
          <w:sz w:val="10"/>
          <w:szCs w:val="10"/>
        </w:rPr>
        <w:t>sekundarni parametri</w:t>
      </w:r>
      <w:r w:rsidRPr="00A817F8">
        <w:rPr>
          <w:sz w:val="10"/>
          <w:szCs w:val="10"/>
        </w:rPr>
        <w:t>: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Karakteristična impedancija Z0[Ω]; Gušenje signala α[dB/km]; Fazna konstanta β[rad/km]; Radni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frekvencijski pojas; Dielektričnačvrstoća [kV]; Brzina rasprostiranja signala u odnosu na brzinu c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najčešće je 2/3 tj. oko 200.000 km/s; Preslušavanje na bližem kraju (engl. NEXT); Preslušavanje na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daljem kraju (engl. FEXT).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 xml:space="preserve">Gušenje preslušavanja na bližem kraju </w:t>
      </w:r>
      <w:r w:rsidR="00B222E1">
        <w:rPr>
          <w:sz w:val="10"/>
          <w:szCs w:val="10"/>
        </w:rPr>
        <w:t>A next =20 log(U ib/ U iib) [dB]</w:t>
      </w:r>
    </w:p>
    <w:p w:rsidR="00BD25BF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 xml:space="preserve">Gušenje preslušavanja na daljnjem kraju </w:t>
      </w:r>
      <w:r w:rsidR="00B222E1">
        <w:rPr>
          <w:sz w:val="10"/>
          <w:szCs w:val="10"/>
        </w:rPr>
        <w:t>A fext =20 log(U ib/ U id</w:t>
      </w:r>
      <w:r w:rsidR="00B222E1" w:rsidRPr="00B222E1">
        <w:rPr>
          <w:sz w:val="10"/>
          <w:szCs w:val="10"/>
        </w:rPr>
        <w:t>) [dB]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1347F9">
        <w:rPr>
          <w:b/>
          <w:color w:val="4F81BD" w:themeColor="accent1"/>
          <w:sz w:val="10"/>
          <w:szCs w:val="10"/>
        </w:rPr>
        <w:t>Modulacije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Telekomunikacijski signal moguće je prenositi spojnim putom u: Osnovnom frekvencijskom pojasu (Base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Band) i Modulacijskom frekvencijskom pojasu (odašiljač sadrži modulator, a prijemnik demodulator)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Base band: prijenos podataka i telegrafija; telefonija; televizija.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1347F9">
        <w:rPr>
          <w:b/>
          <w:color w:val="4F81BD" w:themeColor="accent1"/>
          <w:sz w:val="10"/>
          <w:szCs w:val="10"/>
        </w:rPr>
        <w:t>Razlozi primjene modulacija</w:t>
      </w:r>
      <w:r w:rsidRPr="00A817F8">
        <w:rPr>
          <w:sz w:val="10"/>
          <w:szCs w:val="10"/>
        </w:rPr>
        <w:t>:</w:t>
      </w:r>
      <w:r w:rsidR="00E3009E">
        <w:rPr>
          <w:sz w:val="10"/>
          <w:szCs w:val="10"/>
        </w:rPr>
        <w:t xml:space="preserve"> </w:t>
      </w:r>
      <w:r w:rsidRPr="00A817F8">
        <w:rPr>
          <w:sz w:val="10"/>
          <w:szCs w:val="10"/>
        </w:rPr>
        <w:t>Prilagodba signala za prijenos telekomunikacijskim kanalom: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- U radio komunikacijama, dimenzije djelotvorne antene bliske su valnoj duljini signala, te je prijenos u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osnovnom frekvencijskom pojasu praktično nemoguć;</w:t>
      </w:r>
    </w:p>
    <w:p w:rsidR="00A817F8" w:rsidRP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- Više istovremenih radio komunikacija moguće je ako su one u različitim frekvencijskim pojasima;-</w:t>
      </w:r>
    </w:p>
    <w:p w:rsidR="00A817F8" w:rsidRDefault="00A817F8" w:rsidP="00A817F8">
      <w:pPr>
        <w:spacing w:before="0" w:line="240" w:lineRule="auto"/>
        <w:ind w:left="0"/>
        <w:rPr>
          <w:sz w:val="10"/>
          <w:szCs w:val="10"/>
        </w:rPr>
      </w:pPr>
      <w:r w:rsidRPr="00A817F8">
        <w:rPr>
          <w:sz w:val="10"/>
          <w:szCs w:val="10"/>
        </w:rPr>
        <w:t>Slična logika, ali iz razloga ekonomičnosti, koristi modulacijske tehnike za tzv. multipleks;</w:t>
      </w:r>
    </w:p>
    <w:p w:rsidR="00B222E1" w:rsidRPr="00A817F8" w:rsidRDefault="00B222E1" w:rsidP="00A817F8">
      <w:pPr>
        <w:spacing w:before="0" w:line="240" w:lineRule="auto"/>
        <w:ind w:left="0"/>
        <w:rPr>
          <w:sz w:val="10"/>
          <w:szCs w:val="10"/>
        </w:rPr>
      </w:pPr>
      <w:r>
        <w:rPr>
          <w:sz w:val="10"/>
          <w:szCs w:val="10"/>
        </w:rPr>
        <w:t>Y(t)=f[x(t),u(t)]</w:t>
      </w:r>
    </w:p>
    <w:p w:rsidR="00A817F8" w:rsidRDefault="00A817F8" w:rsidP="00A817F8">
      <w:pPr>
        <w:spacing w:before="0" w:line="240" w:lineRule="auto"/>
        <w:ind w:left="0"/>
        <w:rPr>
          <w:sz w:val="10"/>
          <w:szCs w:val="10"/>
        </w:rPr>
      </w:pPr>
    </w:p>
    <w:p w:rsidR="00A817F8" w:rsidRPr="00A817F8" w:rsidRDefault="00A817F8" w:rsidP="00A817F8">
      <w:pPr>
        <w:spacing w:before="0" w:line="240" w:lineRule="auto"/>
        <w:ind w:left="0"/>
        <w:rPr>
          <w:b/>
          <w:sz w:val="10"/>
          <w:szCs w:val="10"/>
        </w:rPr>
      </w:pPr>
    </w:p>
    <w:sectPr w:rsidR="00A817F8" w:rsidRPr="00A817F8" w:rsidSect="001347F9">
      <w:pgSz w:w="11906" w:h="16838"/>
      <w:pgMar w:top="142" w:right="1417" w:bottom="1417" w:left="1417" w:header="708" w:footer="708" w:gutter="0"/>
      <w:cols w:num="3" w:space="6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08"/>
  <w:hyphenationZone w:val="425"/>
  <w:characterSpacingControl w:val="doNotCompress"/>
  <w:compat/>
  <w:rsids>
    <w:rsidRoot w:val="00A817F8"/>
    <w:rsid w:val="001347F9"/>
    <w:rsid w:val="0015066E"/>
    <w:rsid w:val="009043C3"/>
    <w:rsid w:val="00957EF2"/>
    <w:rsid w:val="00A817F8"/>
    <w:rsid w:val="00A945D9"/>
    <w:rsid w:val="00B03436"/>
    <w:rsid w:val="00B222E1"/>
    <w:rsid w:val="00BD25BF"/>
    <w:rsid w:val="00D43192"/>
    <w:rsid w:val="00E3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480" w:line="276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BF"/>
    <w:rPr>
      <w:noProof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A817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817F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2013-01-07T11:05:00Z</cp:lastPrinted>
  <dcterms:created xsi:type="dcterms:W3CDTF">2013-01-07T09:38:00Z</dcterms:created>
  <dcterms:modified xsi:type="dcterms:W3CDTF">2013-01-07T11:14:00Z</dcterms:modified>
</cp:coreProperties>
</file>