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B5BFD"/>
          <w:sz w:val="52"/>
        </w:rPr>
        <w:t>SmartPark: Real-Time Parking Spot Object Detection</w:t>
      </w:r>
    </w:p>
    <w:p>
      <w:pPr>
        <w:jc w:val="center"/>
      </w:pPr>
      <w:r>
        <w:rPr>
          <w:sz w:val="28"/>
        </w:rPr>
        <w:t>AASD 4014 — Deep Learning II — Final Project Report</w:t>
        <w:br/>
        <w:t>Object Detection Track</w:t>
      </w:r>
    </w:p>
    <w:p>
      <w:pPr>
        <w:jc w:val="center"/>
      </w:pPr>
      <w:r>
        <w:rPr>
          <w:sz w:val="24"/>
        </w:rPr>
        <w:t>Group Number: [FILL IN]</w:t>
        <w:br/>
        <w:t>July 2026</w:t>
      </w:r>
    </w:p>
    <w:p>
      <w:r>
        <w:br w:type="page"/>
      </w:r>
    </w:p>
    <w:p>
      <w:pPr>
        <w:pStyle w:val="Heading2"/>
      </w:pPr>
      <w:r>
        <w:rPr>
          <w:color w:val="18181B"/>
        </w:rPr>
        <w:t>Before Submitting</w:t>
      </w:r>
    </w:p>
    <w:p>
      <w:r>
        <w:rPr>
          <w:i/>
        </w:rPr>
        <w:t>This report was drafted by working through the assignment rubric section by section. Fields marked [FILL IN] need real information from your group before submission: group number, member names/roles in the Task Distribution and Team Contributions tables, and the Project Manager's name. The Agile Development section (below) reconstructs the actual build sequence from the project's real file history as a starting point -- replace or supplement it with your team's actual meeting notes, Jira board, and burndown chart if you tracked one separately.</w:t>
      </w:r>
    </w:p>
    <w:p>
      <w:pPr>
        <w:pStyle w:val="Heading1"/>
      </w:pPr>
      <w:r>
        <w:rPr>
          <w:color w:val="18181B"/>
        </w:rPr>
        <w:t>Task Distribution</w:t>
      </w:r>
    </w:p>
    <w:p>
      <w:r>
        <w:t>Filled in per the assignment's Workload Distribution requirement. Redundant tasks (e.g. more than one member touching model training) are acceptable if documented here.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Name</w:t>
            </w:r>
          </w:p>
        </w:tc>
        <w:tc>
          <w:tcPr>
            <w:tcW w:type="dxa" w:w="2880"/>
          </w:tcPr>
          <w:p>
            <w:r>
              <w:rPr>
                <w:b/>
              </w:rPr>
              <w:t>Role</w:t>
            </w:r>
          </w:p>
        </w:tc>
        <w:tc>
          <w:tcPr>
            <w:tcW w:type="dxa" w:w="2880"/>
          </w:tcPr>
          <w:p>
            <w:r>
              <w:rPr>
                <w:b/>
              </w:rPr>
              <w:t>Tasks</w:t>
            </w:r>
          </w:p>
        </w:tc>
      </w:tr>
      <w:tr>
        <w:tc>
          <w:tcPr>
            <w:tcW w:type="dxa" w:w="2880"/>
          </w:tcPr>
          <w:p>
            <w:r>
              <w:t>[FILL IN — Project Manager]</w:t>
            </w:r>
          </w:p>
        </w:tc>
        <w:tc>
          <w:tcPr>
            <w:tcW w:type="dxa" w:w="2880"/>
          </w:tcPr>
          <w:p>
            <w:r>
              <w:t>Project Manager</w:t>
            </w:r>
          </w:p>
        </w:tc>
        <w:tc>
          <w:tcPr>
            <w:tcW w:type="dxa" w:w="2880"/>
          </w:tcPr>
          <w:p>
            <w:r>
              <w:t>Coordination, timeline, final report assembly</w:t>
            </w:r>
          </w:p>
        </w:tc>
      </w:tr>
      <w:tr>
        <w:tc>
          <w:tcPr>
            <w:tcW w:type="dxa" w:w="2880"/>
          </w:tcPr>
          <w:p>
            <w:r>
              <w:t>[FILL IN]</w:t>
            </w:r>
          </w:p>
        </w:tc>
        <w:tc>
          <w:tcPr>
            <w:tcW w:type="dxa" w:w="2880"/>
          </w:tcPr>
          <w:p>
            <w:r>
              <w:t>[FILL IN]</w:t>
            </w:r>
          </w:p>
        </w:tc>
        <w:tc>
          <w:tcPr>
            <w:tcW w:type="dxa" w:w="2880"/>
          </w:tcPr>
          <w:p>
            <w:r>
              <w:t>[FILL IN]</w:t>
            </w:r>
          </w:p>
        </w:tc>
      </w:tr>
      <w:tr>
        <w:tc>
          <w:tcPr>
            <w:tcW w:type="dxa" w:w="2880"/>
          </w:tcPr>
          <w:p>
            <w:r>
              <w:t>[FILL IN]</w:t>
            </w:r>
          </w:p>
        </w:tc>
        <w:tc>
          <w:tcPr>
            <w:tcW w:type="dxa" w:w="2880"/>
          </w:tcPr>
          <w:p>
            <w:r>
              <w:t>[FILL IN]</w:t>
            </w:r>
          </w:p>
        </w:tc>
        <w:tc>
          <w:tcPr>
            <w:tcW w:type="dxa" w:w="2880"/>
          </w:tcPr>
          <w:p>
            <w:r>
              <w:t>[FILL IN]</w:t>
            </w:r>
          </w:p>
        </w:tc>
      </w:tr>
      <w:tr>
        <w:tc>
          <w:tcPr>
            <w:tcW w:type="dxa" w:w="2880"/>
          </w:tcPr>
          <w:p>
            <w:r>
              <w:t>[FILL IN]</w:t>
            </w:r>
          </w:p>
        </w:tc>
        <w:tc>
          <w:tcPr>
            <w:tcW w:type="dxa" w:w="2880"/>
          </w:tcPr>
          <w:p>
            <w:r>
              <w:t>[FILL IN]</w:t>
            </w:r>
          </w:p>
        </w:tc>
        <w:tc>
          <w:tcPr>
            <w:tcW w:type="dxa" w:w="2880"/>
          </w:tcPr>
          <w:p>
            <w:r>
              <w:t>[FILL IN]</w:t>
            </w:r>
          </w:p>
        </w:tc>
      </w:tr>
      <w:tr>
        <w:tc>
          <w:tcPr>
            <w:tcW w:type="dxa" w:w="2880"/>
          </w:tcPr>
          <w:p>
            <w:r>
              <w:t>[FILL IN]</w:t>
            </w:r>
          </w:p>
        </w:tc>
        <w:tc>
          <w:tcPr>
            <w:tcW w:type="dxa" w:w="2880"/>
          </w:tcPr>
          <w:p>
            <w:r>
              <w:t>[FILL IN]</w:t>
            </w:r>
          </w:p>
        </w:tc>
        <w:tc>
          <w:tcPr>
            <w:tcW w:type="dxa" w:w="2880"/>
          </w:tcPr>
          <w:p>
            <w:r>
              <w:t>[FILL IN]</w:t>
            </w:r>
          </w:p>
        </w:tc>
      </w:tr>
    </w:tbl>
    <w:p>
      <w:r>
        <w:br w:type="page"/>
      </w:r>
    </w:p>
    <w:p>
      <w:pPr>
        <w:pStyle w:val="Heading1"/>
      </w:pPr>
      <w:r>
        <w:rPr>
          <w:color w:val="18181B"/>
        </w:rPr>
        <w:t>1. Background and Problem Statement</w:t>
      </w:r>
    </w:p>
    <w:p>
      <w:r>
        <w:t>Drivers regularly spend significant time searching for available parking in cities, malls, airports, and campuses -- circling lots because there is no way to see spot-level availability before arriving. Camera-based occupancy detection is a natural fit for computer vision, and has an established research line (PKLot, CNRPark-EXT) built around classifying individually marked spots as Empty or Occupied.</w:t>
      </w:r>
    </w:p>
    <w:p>
      <w:r>
        <w:t>This project targets the assignment's Object Detection track directly: rather than only classifying pre-cropped, pre-calibrated spot images (a common simplification in the PKLot/CNRPark-EXT literature), the core deliverable is a trained object detector that finds and classifies parking spots as one of two distinct object classes -- "empty_spot" and "occupied_spot" -- directly in a full, uncalibrated photo of a lot. A second, complementary pipeline (a per-spot CNN classifier plus a geometric misparking check) is kept for cameras where spot boundaries are already known, since it additionally flags cars that are parked across a spot boundary -- something the detector alone does not attempt.</w:t>
      </w:r>
    </w:p>
    <w:p>
      <w:pPr>
        <w:pStyle w:val="Heading1"/>
      </w:pPr>
      <w:r>
        <w:rPr>
          <w:color w:val="18181B"/>
        </w:rPr>
        <w:t>2. Plan of Attack</w:t>
      </w:r>
    </w:p>
    <w:p>
      <w:r>
        <w:t>The approach was staged deliberately so that a working end-to-end system existed at every step, rather than betting everything on one long training run:</w:t>
      </w:r>
    </w:p>
    <w:p>
      <w:pPr>
        <w:pStyle w:val="ListBullet"/>
      </w:pPr>
      <w:r>
        <w:t>Stand up the full pipeline (data → model → API → UI) on a cheap, procedurally generated synthetic dataset first, to validate every moving part before spending time on real-world data cleanup.</w:t>
      </w:r>
    </w:p>
    <w:p>
      <w:pPr>
        <w:pStyle w:val="ListBullet"/>
      </w:pPr>
      <w:r>
        <w:t>Layer in real-world data (PKLot) for the occupancy classifier to confirm the approach generalizes beyond synthetic images.</w:t>
      </w:r>
    </w:p>
    <w:p>
      <w:pPr>
        <w:pStyle w:val="ListBullet"/>
      </w:pPr>
      <w:r>
        <w:t>Audit the finished project against the course rubric before finalizing the report -- this caught that a pre-cropped classifier alone does not satisfy an "Object Detection" deliverable (Section 8 discusses this pivot and why).</w:t>
      </w:r>
    </w:p>
    <w:p>
      <w:pPr>
        <w:pStyle w:val="ListBullet"/>
      </w:pPr>
      <w:r>
        <w:t>Redesign the core model as a genuine from-scratch object detector over two classes, with real training/validation metrics, hyperparameter ablations, and a baseline comparison, then wire it into the same live API and demo UI.</w:t>
      </w:r>
    </w:p>
    <w:p>
      <w:pPr>
        <w:pStyle w:val="Heading1"/>
      </w:pPr>
      <w:r>
        <w:rPr>
          <w:color w:val="18181B"/>
        </w:rPr>
        <w:t>Agile Development Process</w:t>
      </w:r>
    </w:p>
    <w:p>
      <w:r>
        <w:t>Development was organized into four stages, reconstructed here from the project's actual file history (each stage corresponds to a real day of work on the repository, 2026-07-17 through 2026-07-20). Replace this with your team's real sprint/meeting records if you tracked them separately (e.g. in Jira).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Sprint</w:t>
            </w:r>
          </w:p>
        </w:tc>
        <w:tc>
          <w:tcPr>
            <w:tcW w:type="dxa" w:w="2160"/>
          </w:tcPr>
          <w:p>
            <w:r>
              <w:rPr>
                <w:b/>
              </w:rPr>
              <w:t>Dates</w:t>
            </w:r>
          </w:p>
        </w:tc>
        <w:tc>
          <w:tcPr>
            <w:tcW w:type="dxa" w:w="2160"/>
          </w:tcPr>
          <w:p>
            <w:r>
              <w:rPr>
                <w:b/>
              </w:rPr>
              <w:t>Goal</w:t>
            </w:r>
          </w:p>
        </w:tc>
        <w:tc>
          <w:tcPr>
            <w:tcW w:type="dxa" w:w="2160"/>
          </w:tcPr>
          <w:p>
            <w:r>
              <w:rPr>
                <w:b/>
              </w:rPr>
              <w:t>Key deliverables</w:t>
            </w:r>
          </w:p>
        </w:tc>
      </w:tr>
      <w:tr>
        <w:tc>
          <w:tcPr>
            <w:tcW w:type="dxa" w:w="2160"/>
          </w:tcPr>
          <w:p>
            <w:r>
              <w:t>Sprint 1</w:t>
            </w:r>
          </w:p>
        </w:tc>
        <w:tc>
          <w:tcPr>
            <w:tcW w:type="dxa" w:w="2160"/>
          </w:tcPr>
          <w:p>
            <w:r>
              <w:t>Jul 17</w:t>
            </w:r>
          </w:p>
        </w:tc>
        <w:tc>
          <w:tcPr>
            <w:tcW w:type="dxa" w:w="2160"/>
          </w:tcPr>
          <w:p>
            <w:r>
              <w:t>Pipeline scaffolding</w:t>
            </w:r>
          </w:p>
        </w:tc>
        <w:tc>
          <w:tcPr>
            <w:tcW w:type="dxa" w:w="2160"/>
          </w:tcPr>
          <w:p>
            <w:r>
              <w:t>Synthetic data generator, CNN classifier, geometry misparking checker, inference pipeline, first demo UI -- validated end-to-end on synthetic data</w:t>
            </w:r>
          </w:p>
        </w:tc>
      </w:tr>
      <w:tr>
        <w:tc>
          <w:tcPr>
            <w:tcW w:type="dxa" w:w="2160"/>
          </w:tcPr>
          <w:p>
            <w:r>
              <w:t>Sprint 2</w:t>
            </w:r>
          </w:p>
        </w:tc>
        <w:tc>
          <w:tcPr>
            <w:tcW w:type="dxa" w:w="2160"/>
          </w:tcPr>
          <w:p>
            <w:r>
              <w:t>Jul 18</w:t>
            </w:r>
          </w:p>
        </w:tc>
        <w:tc>
          <w:tcPr>
            <w:tcW w:type="dxa" w:w="2160"/>
          </w:tcPr>
          <w:p>
            <w:r>
              <w:t>Real-data integration</w:t>
            </w:r>
          </w:p>
        </w:tc>
        <w:tc>
          <w:tcPr>
            <w:tcW w:type="dxa" w:w="2160"/>
          </w:tcPr>
          <w:p>
            <w:r>
              <w:t>PKLot COCO→crop conversion script, resumable training script, classifier retrained on real PKLot data (97.04% val accuracy)</w:t>
            </w:r>
          </w:p>
        </w:tc>
      </w:tr>
      <w:tr>
        <w:tc>
          <w:tcPr>
            <w:tcW w:type="dxa" w:w="2160"/>
          </w:tcPr>
          <w:p>
            <w:r>
              <w:t>Sprint 3</w:t>
            </w:r>
          </w:p>
        </w:tc>
        <w:tc>
          <w:tcPr>
            <w:tcW w:type="dxa" w:w="2160"/>
          </w:tcPr>
          <w:p>
            <w:r>
              <w:t>Jul 19</w:t>
            </w:r>
          </w:p>
        </w:tc>
        <w:tc>
          <w:tcPr>
            <w:tcW w:type="dxa" w:w="2160"/>
          </w:tcPr>
          <w:p>
            <w:r>
              <w:t>Reporting</w:t>
            </w:r>
          </w:p>
        </w:tc>
        <w:tc>
          <w:tcPr>
            <w:tcW w:type="dxa" w:w="2160"/>
          </w:tcPr>
          <w:p>
            <w:r>
              <w:t>Initial report/slide drafts, architecture diagram, demo screenshots</w:t>
            </w:r>
          </w:p>
        </w:tc>
      </w:tr>
      <w:tr>
        <w:tc>
          <w:tcPr>
            <w:tcW w:type="dxa" w:w="2160"/>
          </w:tcPr>
          <w:p>
            <w:r>
              <w:t>Sprint 4</w:t>
            </w:r>
          </w:p>
        </w:tc>
        <w:tc>
          <w:tcPr>
            <w:tcW w:type="dxa" w:w="2160"/>
          </w:tcPr>
          <w:p>
            <w:r>
              <w:t>Jul 20</w:t>
            </w:r>
          </w:p>
        </w:tc>
        <w:tc>
          <w:tcPr>
            <w:tcW w:type="dxa" w:w="2160"/>
          </w:tcPr>
          <w:p>
            <w:r>
              <w:t>Environment fixes + OD pivot</w:t>
            </w:r>
          </w:p>
        </w:tc>
        <w:tc>
          <w:tcPr>
            <w:tcW w:type="dxa" w:w="2160"/>
          </w:tcPr>
          <w:p>
            <w:r>
              <w:t>Fixed Python/TensorFlow/Keras version-skew issues, then rebuilt the core deliverable as a real 2-class object detector: training, evaluation (precision/recall/AP/mAP), hyperparameter ablations, baseline benchmarking, live API integration</w:t>
            </w:r>
          </w:p>
        </w:tc>
      </w:tr>
    </w:tbl>
    <w:p>
      <w:pPr>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burndown.png"/>
                    <pic:cNvPicPr/>
                  </pic:nvPicPr>
                  <pic:blipFill>
                    <a:blip r:embed="rId9"/>
                    <a:stretch>
                      <a:fillRect/>
                    </a:stretch>
                  </pic:blipFill>
                  <pic:spPr>
                    <a:xfrm>
                      <a:off x="0" y="0"/>
                      <a:ext cx="5029200" cy="3352800"/>
                    </a:xfrm>
                    <a:prstGeom prst="rect"/>
                  </pic:spPr>
                </pic:pic>
              </a:graphicData>
            </a:graphic>
          </wp:inline>
        </w:drawing>
      </w:r>
    </w:p>
    <w:p>
      <w:pPr>
        <w:jc w:val="center"/>
      </w:pPr>
      <w:r>
        <w:rPr>
          <w:i/>
          <w:sz w:val="18"/>
        </w:rPr>
        <w:t>Figure: stage-level burndown (reconstructed backlog view, not a literal daily Jira log).</w:t>
      </w:r>
    </w:p>
    <w:p>
      <w:r>
        <w:br w:type="page"/>
      </w:r>
    </w:p>
    <w:p>
      <w:pPr>
        <w:pStyle w:val="Heading1"/>
      </w:pPr>
      <w:r>
        <w:rPr>
          <w:color w:val="18181B"/>
        </w:rPr>
        <w:t>3. The Dataset</w:t>
      </w:r>
    </w:p>
    <w:p>
      <w:pPr>
        <w:pStyle w:val="Heading2"/>
      </w:pPr>
      <w:r>
        <w:rPr>
          <w:color w:val="18181B"/>
        </w:rPr>
        <w:t>3.1 Object Detection Dataset (primary deliverable)</w:t>
      </w:r>
    </w:p>
    <w:p>
      <w:r>
        <w:t>A procedurally generated synthetic dataset (data/generate_synthetic_data.py) provides full, uncropped parking-lot images with COCO-style bounding-box annotations for two classes: "empty_spot" (the marked, unoccupied space) and "occupied_spot" (the parked car's actual footprint, which shifts for intentionally misparked cases -- this is what makes the task genuine localization rather than fixed-position lookup). Each generated lot uses a randomized grid layout (2-3 rows, 4-8 columns, randomized spot size/margin, plus small per-spot jitter), so spot positions vary across images.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Full lot images</w:t>
            </w:r>
          </w:p>
        </w:tc>
        <w:tc>
          <w:tcPr>
            <w:tcW w:type="dxa" w:w="4320"/>
          </w:tcPr>
          <w:p>
            <w:r>
              <w:t>300</w:t>
            </w:r>
          </w:p>
        </w:tc>
      </w:tr>
      <w:tr>
        <w:tc>
          <w:tcPr>
            <w:tcW w:type="dxa" w:w="4320"/>
          </w:tcPr>
          <w:p>
            <w:r>
              <w:t>Labeled spot instances</w:t>
            </w:r>
          </w:p>
        </w:tc>
        <w:tc>
          <w:tcPr>
            <w:tcW w:type="dxa" w:w="4320"/>
          </w:tcPr>
          <w:p>
            <w:r>
              <w:t>4,422</w:t>
            </w:r>
          </w:p>
        </w:tc>
      </w:tr>
      <w:tr>
        <w:tc>
          <w:tcPr>
            <w:tcW w:type="dxa" w:w="4320"/>
          </w:tcPr>
          <w:p>
            <w:r>
              <w:t>empty_spot instances</w:t>
            </w:r>
          </w:p>
        </w:tc>
        <w:tc>
          <w:tcPr>
            <w:tcW w:type="dxa" w:w="4320"/>
          </w:tcPr>
          <w:p>
            <w:r>
              <w:t>2,027</w:t>
            </w:r>
          </w:p>
        </w:tc>
      </w:tr>
      <w:tr>
        <w:tc>
          <w:tcPr>
            <w:tcW w:type="dxa" w:w="4320"/>
          </w:tcPr>
          <w:p>
            <w:r>
              <w:t>occupied_spot instances</w:t>
            </w:r>
          </w:p>
        </w:tc>
        <w:tc>
          <w:tcPr>
            <w:tcW w:type="dxa" w:w="4320"/>
          </w:tcPr>
          <w:p>
            <w:r>
              <w:t>2,395</w:t>
            </w:r>
          </w:p>
        </w:tc>
      </w:tr>
      <w:tr>
        <w:tc>
          <w:tcPr>
            <w:tcW w:type="dxa" w:w="4320"/>
          </w:tcPr>
          <w:p>
            <w:r>
              <w:t>Improperly parked (subset of occupied)</w:t>
            </w:r>
          </w:p>
        </w:tc>
        <w:tc>
          <w:tcPr>
            <w:tcW w:type="dxa" w:w="4320"/>
          </w:tcPr>
          <w:p>
            <w:r>
              <w:t>542</w:t>
            </w:r>
          </w:p>
        </w:tc>
      </w:tr>
      <w:tr>
        <w:tc>
          <w:tcPr>
            <w:tcW w:type="dxa" w:w="4320"/>
          </w:tcPr>
          <w:p>
            <w:r>
              <w:t>Train / validation split</w:t>
            </w:r>
          </w:p>
        </w:tc>
        <w:tc>
          <w:tcPr>
            <w:tcW w:type="dxa" w:w="4320"/>
          </w:tcPr>
          <w:p>
            <w:r>
              <w:t>255 images / 45 images (85% / 15%)</w:t>
            </w:r>
          </w:p>
        </w:tc>
      </w:tr>
    </w:tbl>
    <w:p>
      <w:r>
        <w:t>Both classes clear the assignment's 200-images-per-class minimum by a wide margin, and (per the assignment's allowance) do not need to co-occur in every image, though in this dataset almost every lot naturally contains both.</w:t>
      </w:r>
    </w:p>
    <w:p>
      <w:pPr>
        <w:pStyle w:val="Heading2"/>
      </w:pPr>
      <w:r>
        <w:rPr>
          <w:color w:val="18181B"/>
        </w:rPr>
        <w:t>3.2 Occupancy Classifier Dataset (secondary pipeline)</w:t>
      </w:r>
    </w:p>
    <w:p>
      <w:r>
        <w:t>The per-spot CNN classifier was trained on 600 cropped 64×64 spot patches (330 occupied / 270 empty) from an earlier, smaller synthetic run for a fast sanity check (97.5% validation accuracy), then separately retrained on real data: a COCO-format PKLot export via Roboflow (1,242 real lot photographs, 70,684 individually labeled real parking spaces), converted to 36,584 empty / 34,100 occupied 64×64 crops via convert_coco_to_crops.py, reaching 97.04% validation accuracy -- consistent with published PKLot/CNRPark-EXT results.</w:t>
      </w:r>
    </w:p>
    <w:p>
      <w:r>
        <w:rPr>
          <w:i/>
        </w:rPr>
        <w:t>Environment note: that specific real-data model checkpoint was trained in an earlier session and is not currently loadable after a TensorFlow/Keras version upgrade in this environment; the raw PKLot source images are also no longer present locally to redo the run today. The 97.04% figure is the genuine, previously-recorded result (see trained_model_real/training_report.txt), reported here as a historical result rather than something re-verified in this session.</w:t>
      </w:r>
    </w:p>
    <w:p>
      <w:r>
        <w:br w:type="page"/>
      </w:r>
    </w:p>
    <w:p>
      <w:pPr>
        <w:pStyle w:val="Heading1"/>
      </w:pPr>
      <w:r>
        <w:rPr>
          <w:color w:val="18181B"/>
        </w:rPr>
        <w:t>4. Model Description</w:t>
      </w:r>
    </w:p>
    <w:p>
      <w:pPr>
        <w:pStyle w:val="Heading2"/>
      </w:pPr>
      <w:r>
        <w:rPr>
          <w:color w:val="18181B"/>
        </w:rPr>
        <w:t>4.1 Object Detector (primary deliverable)</w:t>
      </w:r>
    </w:p>
    <w:p>
      <w:r>
        <w:t>A single-shot, grid-based detector trained from scratch (models/detector_model.py), in the style of YOLOv1: one predicted box per grid cell, over a 16×16 grid on a 256×256 input. For each cell the network predicts an objectness score, a box (center offset within the cell + width/height as a fraction of the image), and class probabilities over the two classes.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Output</w:t>
            </w:r>
          </w:p>
        </w:tc>
      </w:tr>
      <w:tr>
        <w:tc>
          <w:tcPr>
            <w:tcW w:type="dxa" w:w="4320"/>
          </w:tcPr>
          <w:p>
            <w:r>
              <w:t>Input</w:t>
            </w:r>
          </w:p>
        </w:tc>
        <w:tc>
          <w:tcPr>
            <w:tcW w:type="dxa" w:w="4320"/>
          </w:tcPr>
          <w:p>
            <w:r>
              <w:t>256×256×3</w:t>
            </w:r>
          </w:p>
        </w:tc>
      </w:tr>
      <w:tr>
        <w:tc>
          <w:tcPr>
            <w:tcW w:type="dxa" w:w="4320"/>
          </w:tcPr>
          <w:p>
            <w:r>
              <w:t>Conv2D(16) + MaxPool</w:t>
            </w:r>
          </w:p>
        </w:tc>
        <w:tc>
          <w:tcPr>
            <w:tcW w:type="dxa" w:w="4320"/>
          </w:tcPr>
          <w:p>
            <w:r>
              <w:t>128×128×16</w:t>
            </w:r>
          </w:p>
        </w:tc>
      </w:tr>
      <w:tr>
        <w:tc>
          <w:tcPr>
            <w:tcW w:type="dxa" w:w="4320"/>
          </w:tcPr>
          <w:p>
            <w:r>
              <w:t>Conv2D(32) + MaxPool</w:t>
            </w:r>
          </w:p>
        </w:tc>
        <w:tc>
          <w:tcPr>
            <w:tcW w:type="dxa" w:w="4320"/>
          </w:tcPr>
          <w:p>
            <w:r>
              <w:t>64×64×32</w:t>
            </w:r>
          </w:p>
        </w:tc>
      </w:tr>
      <w:tr>
        <w:tc>
          <w:tcPr>
            <w:tcW w:type="dxa" w:w="4320"/>
          </w:tcPr>
          <w:p>
            <w:r>
              <w:t>Conv2D(64) + MaxPool</w:t>
            </w:r>
          </w:p>
        </w:tc>
        <w:tc>
          <w:tcPr>
            <w:tcW w:type="dxa" w:w="4320"/>
          </w:tcPr>
          <w:p>
            <w:r>
              <w:t>32×32×64</w:t>
            </w:r>
          </w:p>
        </w:tc>
      </w:tr>
      <w:tr>
        <w:tc>
          <w:tcPr>
            <w:tcW w:type="dxa" w:w="4320"/>
          </w:tcPr>
          <w:p>
            <w:r>
              <w:t>Conv2D(128) + MaxPool</w:t>
            </w:r>
          </w:p>
        </w:tc>
        <w:tc>
          <w:tcPr>
            <w:tcW w:type="dxa" w:w="4320"/>
          </w:tcPr>
          <w:p>
            <w:r>
              <w:t>16×16×128</w:t>
            </w:r>
          </w:p>
        </w:tc>
      </w:tr>
      <w:tr>
        <w:tc>
          <w:tcPr>
            <w:tcW w:type="dxa" w:w="4320"/>
          </w:tcPr>
          <w:p>
            <w:r>
              <w:t>Conv2D(128) × 2</w:t>
            </w:r>
          </w:p>
        </w:tc>
        <w:tc>
          <w:tcPr>
            <w:tcW w:type="dxa" w:w="4320"/>
          </w:tcPr>
          <w:p>
            <w:r>
              <w:t>16×16×128</w:t>
            </w:r>
          </w:p>
        </w:tc>
      </w:tr>
      <w:tr>
        <w:tc>
          <w:tcPr>
            <w:tcW w:type="dxa" w:w="4320"/>
          </w:tcPr>
          <w:p>
            <w:r>
              <w:t>Conv2D(7, 1×1) head</w:t>
            </w:r>
          </w:p>
        </w:tc>
        <w:tc>
          <w:tcPr>
            <w:tcW w:type="dxa" w:w="4320"/>
          </w:tcPr>
          <w:p>
            <w:r>
              <w:t>16×16×7  (objectness, tx, ty, tw, th, class0, class1)</w:t>
            </w:r>
          </w:p>
        </w:tc>
      </w:tr>
    </w:tbl>
    <w:p>
      <w:r>
        <w:t>Total parameters: 393,511. Post-processing: per-class Non-Max Suppression (cv2.dnn.NMSBoxes) removes duplicate overlapping detections.</w:t>
      </w:r>
    </w:p>
    <w:p>
      <w:pPr>
        <w:pStyle w:val="Heading2"/>
      </w:pPr>
      <w:r>
        <w:rPr>
          <w:color w:val="18181B"/>
        </w:rPr>
        <w:t>4.2 Occupancy Classifier + Geometry Check (secondary pipeline)</w:t>
      </w:r>
    </w:p>
    <w:p>
      <w:r>
        <w:t>A small CNN (models/cnn_model.py, 1,142,081 parameters: three Conv+MaxPool blocks, a dense head with dropout, sigmoid output) classifies a pre-cropped 64×64 spot patch as Empty or Occupied. For occupied spots, a classic-CV step (color-distance thresholding, inference.find_car_bbox_in_spot) localizes the car within the spot and an IoU/overflow check (improper_parking.py) flags cars parked across the marked boundary. A MobileNetV2 transfer-learning variant (models/cnn_model.py:build_mobilenet_transfer) is also implemented as an available alternative backbone but was not needed in practice -- the small custom CNN already reached 97%+ accuracy at a fraction of the inference cost.</w:t>
      </w:r>
    </w:p>
    <w:p>
      <w:pPr>
        <w:jc w:val="center"/>
      </w:pPr>
      <w:r>
        <w:drawing>
          <wp:inline xmlns:a="http://schemas.openxmlformats.org/drawingml/2006/main" xmlns:pic="http://schemas.openxmlformats.org/drawingml/2006/picture">
            <wp:extent cx="5029200" cy="3911600"/>
            <wp:docPr id="2" name="Picture 2"/>
            <wp:cNvGraphicFramePr>
              <a:graphicFrameLocks noChangeAspect="1"/>
            </wp:cNvGraphicFramePr>
            <a:graphic>
              <a:graphicData uri="http://schemas.openxmlformats.org/drawingml/2006/picture">
                <pic:pic>
                  <pic:nvPicPr>
                    <pic:cNvPr id="0" name="architecture_v2.png"/>
                    <pic:cNvPicPr/>
                  </pic:nvPicPr>
                  <pic:blipFill>
                    <a:blip r:embed="rId10"/>
                    <a:stretch>
                      <a:fillRect/>
                    </a:stretch>
                  </pic:blipFill>
                  <pic:spPr>
                    <a:xfrm>
                      <a:off x="0" y="0"/>
                      <a:ext cx="5029200" cy="3911600"/>
                    </a:xfrm>
                    <a:prstGeom prst="rect"/>
                  </pic:spPr>
                </pic:pic>
              </a:graphicData>
            </a:graphic>
          </wp:inline>
        </w:drawing>
      </w:r>
    </w:p>
    <w:p>
      <w:pPr>
        <w:jc w:val="center"/>
      </w:pPr>
      <w:r>
        <w:rPr>
          <w:i/>
          <w:sz w:val="18"/>
        </w:rPr>
        <w:t>Figure: system architecture -- both pipelines share the same REST API and demo UI.</w:t>
      </w:r>
    </w:p>
    <w:p>
      <w:r>
        <w:br w:type="page"/>
      </w:r>
    </w:p>
    <w:p>
      <w:pPr>
        <w:pStyle w:val="Heading1"/>
      </w:pPr>
      <w:r>
        <w:rPr>
          <w:color w:val="18181B"/>
        </w:rPr>
        <w:t>5. Training &amp; Evaluation</w:t>
      </w:r>
    </w:p>
    <w:p>
      <w:r>
        <w:t>The detector was trained for 40 epochs (Adam, lr=1e-3 with ReduceLROnPlateau, batch size 16, EarlyStopping patience 6 on val_loss with best-weights restore -- did not trigger early, ran the full 40 epochs). Loss follows the YOLOv1 formulation: squared-error coordinate loss (weighted 5×), objectness loss, a down-weighted (0.5×) no-object loss, and classification loss, applied only to grid cells that contain a ground-truth object (except no-object loss, applied everywhere).</w:t>
      </w:r>
    </w:p>
    <w:p>
      <w:pPr>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training_curve.png"/>
                    <pic:cNvPicPr/>
                  </pic:nvPicPr>
                  <pic:blipFill>
                    <a:blip r:embed="rId11"/>
                    <a:stretch>
                      <a:fillRect/>
                    </a:stretch>
                  </pic:blipFill>
                  <pic:spPr>
                    <a:xfrm>
                      <a:off x="0" y="0"/>
                      <a:ext cx="5029200" cy="3352800"/>
                    </a:xfrm>
                    <a:prstGeom prst="rect"/>
                  </pic:spPr>
                </pic:pic>
              </a:graphicData>
            </a:graphic>
          </wp:inline>
        </w:drawing>
      </w:r>
    </w:p>
    <w:p>
      <w:pPr>
        <w:jc w:val="center"/>
      </w:pPr>
      <w:r>
        <w:rPr>
          <w:i/>
          <w:sz w:val="18"/>
        </w:rPr>
        <w:t>Figure: training/validation loss per epoch.</w:t>
      </w:r>
    </w:p>
    <w:p>
      <w:r>
        <w:t>Final train loss: 0.95. Final (best-restored) validation loss: 2.65.</w:t>
      </w:r>
    </w:p>
    <w:p>
      <w:r>
        <w:t>Evaluated on the held-out 45-image validation split (721 spot instances: 337 empty_spot, 384 occupied_spot) by decoding predictions back to image coordinates, applying NMS, and matching against ground truth at IoU ≥ 0.5:</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GT instances</w:t>
            </w:r>
          </w:p>
        </w:tc>
        <w:tc>
          <w:tcPr>
            <w:tcW w:type="dxa" w:w="1440"/>
          </w:tcPr>
          <w:p>
            <w:r>
              <w:rPr>
                <w:b/>
              </w:rPr>
              <w:t>AP@0.5</w:t>
            </w:r>
          </w:p>
        </w:tc>
        <w:tc>
          <w:tcPr>
            <w:tcW w:type="dxa" w:w="1440"/>
          </w:tcPr>
          <w:p>
            <w:r>
              <w:rPr>
                <w:b/>
              </w:rPr>
              <w:t>Precision</w:t>
            </w:r>
          </w:p>
        </w:tc>
        <w:tc>
          <w:tcPr>
            <w:tcW w:type="dxa" w:w="1440"/>
          </w:tcPr>
          <w:p>
            <w:r>
              <w:rPr>
                <w:b/>
              </w:rPr>
              <w:t>Recall</w:t>
            </w:r>
          </w:p>
        </w:tc>
        <w:tc>
          <w:tcPr>
            <w:tcW w:type="dxa" w:w="1440"/>
          </w:tcPr>
          <w:p>
            <w:r>
              <w:rPr>
                <w:b/>
              </w:rPr>
              <w:t>F1</w:t>
            </w:r>
          </w:p>
        </w:tc>
      </w:tr>
      <w:tr>
        <w:tc>
          <w:tcPr>
            <w:tcW w:type="dxa" w:w="1440"/>
          </w:tcPr>
          <w:p>
            <w:r>
              <w:t>empty_spot</w:t>
            </w:r>
          </w:p>
        </w:tc>
        <w:tc>
          <w:tcPr>
            <w:tcW w:type="dxa" w:w="1440"/>
          </w:tcPr>
          <w:p>
            <w:r>
              <w:t>337</w:t>
            </w:r>
          </w:p>
        </w:tc>
        <w:tc>
          <w:tcPr>
            <w:tcW w:type="dxa" w:w="1440"/>
          </w:tcPr>
          <w:p>
            <w:r>
              <w:t>98.73%</w:t>
            </w:r>
          </w:p>
        </w:tc>
        <w:tc>
          <w:tcPr>
            <w:tcW w:type="dxa" w:w="1440"/>
          </w:tcPr>
          <w:p>
            <w:r>
              <w:t>95.5%</w:t>
            </w:r>
          </w:p>
        </w:tc>
        <w:tc>
          <w:tcPr>
            <w:tcW w:type="dxa" w:w="1440"/>
          </w:tcPr>
          <w:p>
            <w:r>
              <w:t>94.1%</w:t>
            </w:r>
          </w:p>
        </w:tc>
        <w:tc>
          <w:tcPr>
            <w:tcW w:type="dxa" w:w="1440"/>
          </w:tcPr>
          <w:p>
            <w:r>
              <w:t>94.8%</w:t>
            </w:r>
          </w:p>
        </w:tc>
      </w:tr>
      <w:tr>
        <w:tc>
          <w:tcPr>
            <w:tcW w:type="dxa" w:w="1440"/>
          </w:tcPr>
          <w:p>
            <w:r>
              <w:t>occupied_spot</w:t>
            </w:r>
          </w:p>
        </w:tc>
        <w:tc>
          <w:tcPr>
            <w:tcW w:type="dxa" w:w="1440"/>
          </w:tcPr>
          <w:p>
            <w:r>
              <w:t>384</w:t>
            </w:r>
          </w:p>
        </w:tc>
        <w:tc>
          <w:tcPr>
            <w:tcW w:type="dxa" w:w="1440"/>
          </w:tcPr>
          <w:p>
            <w:r>
              <w:t>98.68%</w:t>
            </w:r>
          </w:p>
        </w:tc>
        <w:tc>
          <w:tcPr>
            <w:tcW w:type="dxa" w:w="1440"/>
          </w:tcPr>
          <w:p>
            <w:r>
              <w:t>99.7%</w:t>
            </w:r>
          </w:p>
        </w:tc>
        <w:tc>
          <w:tcPr>
            <w:tcW w:type="dxa" w:w="1440"/>
          </w:tcPr>
          <w:p>
            <w:r>
              <w:t>96.1%</w:t>
            </w:r>
          </w:p>
        </w:tc>
        <w:tc>
          <w:tcPr>
            <w:tcW w:type="dxa" w:w="1440"/>
          </w:tcPr>
          <w:p>
            <w:r>
              <w:t>97.9%</w:t>
            </w:r>
          </w:p>
        </w:tc>
      </w:tr>
      <w:tr>
        <w:tc>
          <w:tcPr>
            <w:tcW w:type="dxa" w:w="1440"/>
          </w:tcPr>
          <w:p>
            <w:r>
              <w:t>mAP@0.5</w:t>
            </w:r>
          </w:p>
        </w:tc>
        <w:tc>
          <w:tcPr>
            <w:tcW w:type="dxa" w:w="1440"/>
          </w:tcPr>
          <w:p>
            <w:r>
              <w:t>—</w:t>
            </w:r>
          </w:p>
        </w:tc>
        <w:tc>
          <w:tcPr>
            <w:tcW w:type="dxa" w:w="1440"/>
          </w:tcPr>
          <w:p>
            <w:r>
              <w:t>98.71%</w:t>
            </w:r>
          </w:p>
        </w:tc>
        <w:tc>
          <w:tcPr>
            <w:tcW w:type="dxa" w:w="1440"/>
          </w:tcPr>
          <w:p>
            <w:r>
              <w:t>—</w:t>
            </w:r>
          </w:p>
        </w:tc>
        <w:tc>
          <w:tcPr>
            <w:tcW w:type="dxa" w:w="1440"/>
          </w:tcPr>
          <w:p>
            <w:r>
              <w:t>—</w:t>
            </w:r>
          </w:p>
        </w:tc>
        <w:tc>
          <w:tcPr>
            <w:tcW w:type="dxa" w:w="1440"/>
          </w:tcPr>
          <w:p>
            <w:r>
              <w:t>—</w:t>
            </w:r>
          </w:p>
        </w:tc>
      </w:tr>
    </w:tbl>
    <w:p>
      <w:pPr>
        <w:jc w:val="center"/>
      </w:pPr>
      <w:r>
        <w:drawing>
          <wp:inline xmlns:a="http://schemas.openxmlformats.org/drawingml/2006/main" xmlns:pic="http://schemas.openxmlformats.org/drawingml/2006/picture">
            <wp:extent cx="5029200" cy="4191000"/>
            <wp:docPr id="4" name="Picture 4"/>
            <wp:cNvGraphicFramePr>
              <a:graphicFrameLocks noChangeAspect="1"/>
            </wp:cNvGraphicFramePr>
            <a:graphic>
              <a:graphicData uri="http://schemas.openxmlformats.org/drawingml/2006/picture">
                <pic:pic>
                  <pic:nvPicPr>
                    <pic:cNvPr id="0" name="pr_curves.png"/>
                    <pic:cNvPicPr/>
                  </pic:nvPicPr>
                  <pic:blipFill>
                    <a:blip r:embed="rId12"/>
                    <a:stretch>
                      <a:fillRect/>
                    </a:stretch>
                  </pic:blipFill>
                  <pic:spPr>
                    <a:xfrm>
                      <a:off x="0" y="0"/>
                      <a:ext cx="5029200" cy="4191000"/>
                    </a:xfrm>
                    <a:prstGeom prst="rect"/>
                  </pic:spPr>
                </pic:pic>
              </a:graphicData>
            </a:graphic>
          </wp:inline>
        </w:drawing>
      </w:r>
    </w:p>
    <w:p>
      <w:pPr>
        <w:jc w:val="center"/>
      </w:pPr>
      <w:r>
        <w:rPr>
          <w:i/>
          <w:sz w:val="18"/>
        </w:rPr>
        <w:t>Figure: precision-recall curves per class.</w:t>
      </w:r>
    </w:p>
    <w:p>
      <w:pPr>
        <w:jc w:val="center"/>
      </w:pPr>
      <w:r>
        <w:drawing>
          <wp:inline xmlns:a="http://schemas.openxmlformats.org/drawingml/2006/main" xmlns:pic="http://schemas.openxmlformats.org/drawingml/2006/picture">
            <wp:extent cx="5029200" cy="4023360"/>
            <wp:docPr id="5" name="Picture 5"/>
            <wp:cNvGraphicFramePr>
              <a:graphicFrameLocks noChangeAspect="1"/>
            </wp:cNvGraphicFramePr>
            <a:graphic>
              <a:graphicData uri="http://schemas.openxmlformats.org/drawingml/2006/picture">
                <pic:pic>
                  <pic:nvPicPr>
                    <pic:cNvPr id="0" name="ap_bar.png"/>
                    <pic:cNvPicPr/>
                  </pic:nvPicPr>
                  <pic:blipFill>
                    <a:blip r:embed="rId13"/>
                    <a:stretch>
                      <a:fillRect/>
                    </a:stretch>
                  </pic:blipFill>
                  <pic:spPr>
                    <a:xfrm>
                      <a:off x="0" y="0"/>
                      <a:ext cx="5029200" cy="4023360"/>
                    </a:xfrm>
                    <a:prstGeom prst="rect"/>
                  </pic:spPr>
                </pic:pic>
              </a:graphicData>
            </a:graphic>
          </wp:inline>
        </w:drawing>
      </w:r>
    </w:p>
    <w:p>
      <w:pPr>
        <w:jc w:val="center"/>
      </w:pPr>
      <w:r>
        <w:rPr>
          <w:i/>
          <w:sz w:val="18"/>
        </w:rPr>
        <w:t>Figure: AP per class and mAP@0.5.</w:t>
      </w:r>
    </w:p>
    <w:p>
      <w:r>
        <w:t>To separate localization error from classification error, a second confusion matrix restricts to boxes that were correctly localized (IoU ≥ 0.5, matched irrespective of predicted class) and asks whether the predicted class was right:</w:t>
      </w:r>
    </w:p>
    <w:p>
      <w:pPr>
        <w:jc w:val="center"/>
      </w:pPr>
      <w:r>
        <w:drawing>
          <wp:inline xmlns:a="http://schemas.openxmlformats.org/drawingml/2006/main" xmlns:pic="http://schemas.openxmlformats.org/drawingml/2006/picture">
            <wp:extent cx="5029200" cy="4470400"/>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029200" cy="4470400"/>
                    </a:xfrm>
                    <a:prstGeom prst="rect"/>
                  </pic:spPr>
                </pic:pic>
              </a:graphicData>
            </a:graphic>
          </wp:inline>
        </w:drawing>
      </w:r>
    </w:p>
    <w:p>
      <w:pPr>
        <w:jc w:val="center"/>
      </w:pPr>
      <w:r>
        <w:rPr>
          <w:i/>
          <w:sz w:val="18"/>
        </w:rPr>
        <w:t>Figure: confusion matrix, localized boxes only. 335/335 empty_spot and 379/380 occupied_spot correctly classified -- 99.86% classification accuracy given correct localization. Almost all remaining error is missed detections (recall), not class confusion.</w:t>
      </w:r>
    </w:p>
    <w:p>
      <w:pPr>
        <w:pStyle w:val="Heading2"/>
      </w:pPr>
      <w:r>
        <w:rPr>
          <w:color w:val="18181B"/>
        </w:rPr>
        <w:t>Qualitative results</w:t>
      </w:r>
    </w:p>
    <w:p>
      <w:r>
        <w:t>Eight held-out validation images with predicted vs. ground-truth counts (full list: report_assets/sample_outputs/summary.json):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Sample</w:t>
            </w:r>
          </w:p>
        </w:tc>
        <w:tc>
          <w:tcPr>
            <w:tcW w:type="dxa" w:w="2880"/>
          </w:tcPr>
          <w:p>
            <w:r>
              <w:rPr>
                <w:b/>
              </w:rPr>
              <w:t>GT (empty / occupied)</w:t>
            </w:r>
          </w:p>
        </w:tc>
        <w:tc>
          <w:tcPr>
            <w:tcW w:type="dxa" w:w="2880"/>
          </w:tcPr>
          <w:p>
            <w:r>
              <w:rPr>
                <w:b/>
              </w:rPr>
              <w:t>Predicted (empty / occupied)</w:t>
            </w:r>
          </w:p>
        </w:tc>
      </w:tr>
      <w:tr>
        <w:tc>
          <w:tcPr>
            <w:tcW w:type="dxa" w:w="2880"/>
          </w:tcPr>
          <w:p>
            <w:r>
              <w:t>sample_01.jpg</w:t>
            </w:r>
          </w:p>
        </w:tc>
        <w:tc>
          <w:tcPr>
            <w:tcW w:type="dxa" w:w="2880"/>
          </w:tcPr>
          <w:p>
            <w:r>
              <w:t>11 / 10</w:t>
            </w:r>
          </w:p>
        </w:tc>
        <w:tc>
          <w:tcPr>
            <w:tcW w:type="dxa" w:w="2880"/>
          </w:tcPr>
          <w:p>
            <w:r>
              <w:t>11 / 10  (exact match)</w:t>
            </w:r>
          </w:p>
        </w:tc>
      </w:tr>
      <w:tr>
        <w:tc>
          <w:tcPr>
            <w:tcW w:type="dxa" w:w="2880"/>
          </w:tcPr>
          <w:p>
            <w:r>
              <w:t>sample_03.jpg</w:t>
            </w:r>
          </w:p>
        </w:tc>
        <w:tc>
          <w:tcPr>
            <w:tcW w:type="dxa" w:w="2880"/>
          </w:tcPr>
          <w:p>
            <w:r>
              <w:t>10 / 14</w:t>
            </w:r>
          </w:p>
        </w:tc>
        <w:tc>
          <w:tcPr>
            <w:tcW w:type="dxa" w:w="2880"/>
          </w:tcPr>
          <w:p>
            <w:r>
              <w:t>10 / 14  (exact match)</w:t>
            </w:r>
          </w:p>
        </w:tc>
      </w:tr>
      <w:tr>
        <w:tc>
          <w:tcPr>
            <w:tcW w:type="dxa" w:w="2880"/>
          </w:tcPr>
          <w:p>
            <w:r>
              <w:t>sample_06.jpg</w:t>
            </w:r>
          </w:p>
        </w:tc>
        <w:tc>
          <w:tcPr>
            <w:tcW w:type="dxa" w:w="2880"/>
          </w:tcPr>
          <w:p>
            <w:r>
              <w:t>6 / 6</w:t>
            </w:r>
          </w:p>
        </w:tc>
        <w:tc>
          <w:tcPr>
            <w:tcW w:type="dxa" w:w="2880"/>
          </w:tcPr>
          <w:p>
            <w:r>
              <w:t>1 / 4  (missed several cars -- see discussion)</w:t>
            </w:r>
          </w:p>
        </w:tc>
      </w:tr>
    </w:tbl>
    <w:p>
      <w:pPr>
        <w:jc w:val="center"/>
      </w:pPr>
      <w:r>
        <w:drawing>
          <wp:inline xmlns:a="http://schemas.openxmlformats.org/drawingml/2006/main" xmlns:pic="http://schemas.openxmlformats.org/drawingml/2006/picture">
            <wp:extent cx="4572000" cy="4436533"/>
            <wp:docPr id="7" name="Picture 7"/>
            <wp:cNvGraphicFramePr>
              <a:graphicFrameLocks noChangeAspect="1"/>
            </wp:cNvGraphicFramePr>
            <a:graphic>
              <a:graphicData uri="http://schemas.openxmlformats.org/drawingml/2006/picture">
                <pic:pic>
                  <pic:nvPicPr>
                    <pic:cNvPr id="0" name="sample_01.jpg"/>
                    <pic:cNvPicPr/>
                  </pic:nvPicPr>
                  <pic:blipFill>
                    <a:blip r:embed="rId15"/>
                    <a:stretch>
                      <a:fillRect/>
                    </a:stretch>
                  </pic:blipFill>
                  <pic:spPr>
                    <a:xfrm>
                      <a:off x="0" y="0"/>
                      <a:ext cx="4572000" cy="4436533"/>
                    </a:xfrm>
                    <a:prstGeom prst="rect"/>
                  </pic:spPr>
                </pic:pic>
              </a:graphicData>
            </a:graphic>
          </wp:inline>
        </w:drawing>
      </w:r>
    </w:p>
    <w:p>
      <w:pPr>
        <w:jc w:val="center"/>
      </w:pPr>
      <w:r>
        <w:rPr>
          <w:i/>
          <w:sz w:val="18"/>
        </w:rPr>
        <w:t>Figure: exact match -- 21/21 spots correctly detected and classified.</w:t>
      </w:r>
    </w:p>
    <w:p>
      <w:pPr>
        <w:jc w:val="center"/>
      </w:pPr>
      <w:r>
        <w:drawing>
          <wp:inline xmlns:a="http://schemas.openxmlformats.org/drawingml/2006/main" xmlns:pic="http://schemas.openxmlformats.org/drawingml/2006/picture">
            <wp:extent cx="4572000" cy="2499799"/>
            <wp:docPr id="8" name="Picture 8"/>
            <wp:cNvGraphicFramePr>
              <a:graphicFrameLocks noChangeAspect="1"/>
            </wp:cNvGraphicFramePr>
            <a:graphic>
              <a:graphicData uri="http://schemas.openxmlformats.org/drawingml/2006/picture">
                <pic:pic>
                  <pic:nvPicPr>
                    <pic:cNvPr id="0" name="sample_06.jpg"/>
                    <pic:cNvPicPr/>
                  </pic:nvPicPr>
                  <pic:blipFill>
                    <a:blip r:embed="rId16"/>
                    <a:stretch>
                      <a:fillRect/>
                    </a:stretch>
                  </pic:blipFill>
                  <pic:spPr>
                    <a:xfrm>
                      <a:off x="0" y="0"/>
                      <a:ext cx="4572000" cy="2499799"/>
                    </a:xfrm>
                    <a:prstGeom prst="rect"/>
                  </pic:spPr>
                </pic:pic>
              </a:graphicData>
            </a:graphic>
          </wp:inline>
        </w:drawing>
      </w:r>
    </w:p>
    <w:p>
      <w:pPr>
        <w:jc w:val="center"/>
      </w:pPr>
      <w:r>
        <w:rPr>
          <w:i/>
          <w:sz w:val="18"/>
        </w:rPr>
        <w:t>Figure: a genuine failure case -- several spots (including a low-contrast gray car) were missed entirely; discussed in Section 8.</w:t>
      </w:r>
    </w:p>
    <w:p>
      <w:r>
        <w:br w:type="page"/>
      </w:r>
    </w:p>
    <w:p>
      <w:pPr>
        <w:pStyle w:val="Heading1"/>
      </w:pPr>
      <w:r>
        <w:rPr>
          <w:color w:val="18181B"/>
        </w:rPr>
        <w:t>6. Hyperparameter Tuning</w:t>
      </w:r>
    </w:p>
    <w:p>
      <w:r>
        <w:t>Two hyperparameters were tuned with real, measured comparisons rather than left at arbitrary defaults.</w:t>
      </w:r>
    </w:p>
    <w:p>
      <w:pPr>
        <w:pStyle w:val="Heading2"/>
      </w:pPr>
      <w:r>
        <w:rPr>
          <w:color w:val="18181B"/>
        </w:rPr>
        <w:t>6.1 Grid resolution</w:t>
      </w:r>
    </w:p>
    <w:p>
      <w:r>
        <w:t>The one-box-per-cell design means two spot centers landing in the same grid cell causes one ground-truth box to be dropped during training. Measuring this collision rate across grid resolutions on the full dataset: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Grid size</w:t>
            </w:r>
          </w:p>
        </w:tc>
        <w:tc>
          <w:tcPr>
            <w:tcW w:type="dxa" w:w="2880"/>
          </w:tcPr>
          <w:p>
            <w:r>
              <w:rPr>
                <w:b/>
              </w:rPr>
              <w:t>Dropped boxes</w:t>
            </w:r>
          </w:p>
        </w:tc>
        <w:tc>
          <w:tcPr>
            <w:tcW w:type="dxa" w:w="2880"/>
          </w:tcPr>
          <w:p>
            <w:r>
              <w:rPr>
                <w:b/>
              </w:rPr>
              <w:t>Collision rate</w:t>
            </w:r>
          </w:p>
        </w:tc>
      </w:tr>
      <w:tr>
        <w:tc>
          <w:tcPr>
            <w:tcW w:type="dxa" w:w="2880"/>
          </w:tcPr>
          <w:p>
            <w:r>
              <w:t>8×8</w:t>
            </w:r>
          </w:p>
        </w:tc>
        <w:tc>
          <w:tcPr>
            <w:tcW w:type="dxa" w:w="2880"/>
          </w:tcPr>
          <w:p>
            <w:r>
              <w:t>111 / 4,422</w:t>
            </w:r>
          </w:p>
        </w:tc>
        <w:tc>
          <w:tcPr>
            <w:tcW w:type="dxa" w:w="2880"/>
          </w:tcPr>
          <w:p>
            <w:r>
              <w:t>2.51%</w:t>
            </w:r>
          </w:p>
        </w:tc>
      </w:tr>
      <w:tr>
        <w:tc>
          <w:tcPr>
            <w:tcW w:type="dxa" w:w="2880"/>
          </w:tcPr>
          <w:p>
            <w:r>
              <w:t>16×16 (used)</w:t>
            </w:r>
          </w:p>
        </w:tc>
        <w:tc>
          <w:tcPr>
            <w:tcW w:type="dxa" w:w="2880"/>
          </w:tcPr>
          <w:p>
            <w:r>
              <w:t>12 / 4,422</w:t>
            </w:r>
          </w:p>
        </w:tc>
        <w:tc>
          <w:tcPr>
            <w:tcW w:type="dxa" w:w="2880"/>
          </w:tcPr>
          <w:p>
            <w:r>
              <w:t>0.27%</w:t>
            </w:r>
          </w:p>
        </w:tc>
      </w:tr>
      <w:tr>
        <w:tc>
          <w:tcPr>
            <w:tcW w:type="dxa" w:w="2880"/>
          </w:tcPr>
          <w:p>
            <w:r>
              <w:t>32×32</w:t>
            </w:r>
          </w:p>
        </w:tc>
        <w:tc>
          <w:tcPr>
            <w:tcW w:type="dxa" w:w="2880"/>
          </w:tcPr>
          <w:p>
            <w:r>
              <w:t>3 / 4,422</w:t>
            </w:r>
          </w:p>
        </w:tc>
        <w:tc>
          <w:tcPr>
            <w:tcW w:type="dxa" w:w="2880"/>
          </w:tcPr>
          <w:p>
            <w:r>
              <w:t>0.07%</w:t>
            </w:r>
          </w:p>
        </w:tc>
      </w:tr>
    </w:tbl>
    <w:p>
      <w:r>
        <w:t>16×16 was chosen as the balance point: it cuts collisions by roughly 9× versus 8×8 while keeping the head 4× cheaper than 32×32 for a collision rate that is already well under 1%.</w:t>
      </w:r>
    </w:p>
    <w:p>
      <w:pPr>
        <w:pStyle w:val="Heading2"/>
      </w:pPr>
      <w:r>
        <w:rPr>
          <w:color w:val="18181B"/>
        </w:rPr>
        <w:t>6.2 Coordinate loss weight (lambda_coord)</w:t>
      </w:r>
    </w:p>
    <w:p>
      <w:r>
        <w:t>YOLOv1 weights the box-coordinate loss 5× relative to the classification/objectness terms, to keep the localization signal from being drowned out by the much larger number of no-object cells. This was tested directly: two otherwise-identical detectors were trained for a matched, short budget (15 epochs) with lambda_coord=5.0 vs. lambda_coord=1.0: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lambda_coord</w:t>
            </w:r>
          </w:p>
        </w:tc>
        <w:tc>
          <w:tcPr>
            <w:tcW w:type="dxa" w:w="2880"/>
          </w:tcPr>
          <w:p>
            <w:r>
              <w:rPr>
                <w:b/>
              </w:rPr>
              <w:t>Val loss (15 epochs)</w:t>
            </w:r>
          </w:p>
        </w:tc>
        <w:tc>
          <w:tcPr>
            <w:tcW w:type="dxa" w:w="2880"/>
          </w:tcPr>
          <w:p>
            <w:r>
              <w:rPr>
                <w:b/>
              </w:rPr>
              <w:t>mAP@0.5</w:t>
            </w:r>
          </w:p>
        </w:tc>
      </w:tr>
      <w:tr>
        <w:tc>
          <w:tcPr>
            <w:tcW w:type="dxa" w:w="2880"/>
          </w:tcPr>
          <w:p>
            <w:r>
              <w:t>5.0 (used)</w:t>
            </w:r>
          </w:p>
        </w:tc>
        <w:tc>
          <w:tcPr>
            <w:tcW w:type="dxa" w:w="2880"/>
          </w:tcPr>
          <w:p>
            <w:r>
              <w:t>3.91</w:t>
            </w:r>
          </w:p>
        </w:tc>
        <w:tc>
          <w:tcPr>
            <w:tcW w:type="dxa" w:w="2880"/>
          </w:tcPr>
          <w:p>
            <w:r>
              <w:t>96.72%</w:t>
            </w:r>
          </w:p>
        </w:tc>
      </w:tr>
      <w:tr>
        <w:tc>
          <w:tcPr>
            <w:tcW w:type="dxa" w:w="2880"/>
          </w:tcPr>
          <w:p>
            <w:r>
              <w:t>1.0</w:t>
            </w:r>
          </w:p>
        </w:tc>
        <w:tc>
          <w:tcPr>
            <w:tcW w:type="dxa" w:w="2880"/>
          </w:tcPr>
          <w:p>
            <w:r>
              <w:t>16.36</w:t>
            </w:r>
          </w:p>
        </w:tc>
        <w:tc>
          <w:tcPr>
            <w:tcW w:type="dxa" w:w="2880"/>
          </w:tcPr>
          <w:p>
            <w:r>
              <w:t>0.00%</w:t>
            </w:r>
          </w:p>
        </w:tc>
      </w:tr>
    </w:tbl>
    <w:p>
      <w:r>
        <w:t>At lambda_coord=1.0 the model collapsed to predicting no confident objects anywhere within the 15-epoch budget (mAP=0%) -- a well-known YOLO training pathology when the coordinate signal is underweighted relative to the flood of no-object cells. This concretely confirms the YOLOv1 default was the right choice for this setup, rather than assuming it.</w:t>
      </w:r>
    </w:p>
    <w:p>
      <w:r>
        <w:br w:type="page"/>
      </w:r>
    </w:p>
    <w:p>
      <w:pPr>
        <w:pStyle w:val="Heading1"/>
      </w:pPr>
      <w:r>
        <w:rPr>
          <w:color w:val="18181B"/>
        </w:rPr>
        <w:t>7. Benchmarking</w:t>
      </w:r>
    </w:p>
    <w:p>
      <w:r>
        <w:t>The trained detector's per-spot classification accuracy was compared against two non-learned baselines, using the same validation ground-truth spot locations for all three so the comparison isolates classification quality from localization ability: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Accuracy</w:t>
            </w:r>
          </w:p>
        </w:tc>
      </w:tr>
      <w:tr>
        <w:tc>
          <w:tcPr>
            <w:tcW w:type="dxa" w:w="4320"/>
          </w:tcPr>
          <w:p>
            <w:r>
              <w:t>Majority-class baseline (always predict "occupied")</w:t>
            </w:r>
          </w:p>
        </w:tc>
        <w:tc>
          <w:tcPr>
            <w:tcW w:type="dxa" w:w="4320"/>
          </w:tcPr>
          <w:p>
            <w:r>
              <w:t>53.26%</w:t>
            </w:r>
          </w:p>
        </w:tc>
      </w:tr>
      <w:tr>
        <w:tc>
          <w:tcPr>
            <w:tcW w:type="dxa" w:w="4320"/>
          </w:tcPr>
          <w:p>
            <w:r>
              <w:t>Classic-CV heuristic (this project's original color-distance detector, inference.find_car_bbox_in_spot)</w:t>
            </w:r>
          </w:p>
        </w:tc>
        <w:tc>
          <w:tcPr>
            <w:tcW w:type="dxa" w:w="4320"/>
          </w:tcPr>
          <w:p>
            <w:r>
              <w:t>82.66%</w:t>
            </w:r>
          </w:p>
        </w:tc>
      </w:tr>
      <w:tr>
        <w:tc>
          <w:tcPr>
            <w:tcW w:type="dxa" w:w="4320"/>
          </w:tcPr>
          <w:p>
            <w:r>
              <w:t>Trained detector (classification given correct localization)</w:t>
            </w:r>
          </w:p>
        </w:tc>
        <w:tc>
          <w:tcPr>
            <w:tcW w:type="dxa" w:w="4320"/>
          </w:tcPr>
          <w:p>
            <w:r>
              <w:t>99.86%</w:t>
            </w:r>
          </w:p>
        </w:tc>
      </w:tr>
    </w:tbl>
    <w:p>
      <w:r>
        <w:t>The classic-CV heuristic was this project's own first approach to occupancy (used for the "properly parked" geometry check before any detector existed) -- it beats a naive prior substantially but still misses roughly 1 in 6 spots, which is exactly the kind of gap a learned model is expected to close, and the trained detector closes nearly all of it.</w:t>
      </w:r>
    </w:p>
    <w:p>
      <w:r>
        <w:t>The occupancy classifier's real-data result (97.04% on PKLot) is also independently consistent with accuracy levels reported in the original PKLot and CNRPark-EXT research papers for the same per-spot classification task, which is an external benchmark beyond this project's own baselines.</w:t>
      </w:r>
    </w:p>
    <w:p>
      <w:r>
        <w:br w:type="page"/>
      </w:r>
    </w:p>
    <w:p>
      <w:pPr>
        <w:pStyle w:val="Heading1"/>
      </w:pPr>
      <w:r>
        <w:rPr>
          <w:color w:val="18181B"/>
        </w:rPr>
        <w:t>8. Discussion &amp; Reflection</w:t>
      </w:r>
    </w:p>
    <w:p>
      <w:pPr>
        <w:pStyle w:val="Heading2"/>
      </w:pPr>
      <w:r>
        <w:rPr>
          <w:color w:val="18181B"/>
        </w:rPr>
        <w:t>What worked</w:t>
      </w:r>
    </w:p>
    <w:p>
      <w:r>
        <w:t>Staging the build around a synthetic dataset first paid off twice: it let the whole pipeline (data → model → API → UI) be validated cheaply before touching real data, and later, when the project needed to become a genuine object detector, the same generator only needed real position variance and COCO-style annotations added -- no new infrastructure. The detector reached 98.71% mAP and, per the confusion matrix, almost never confuses the two classes when it does localize a spot.</w:t>
      </w:r>
    </w:p>
    <w:p>
      <w:pPr>
        <w:pStyle w:val="Heading2"/>
      </w:pPr>
      <w:r>
        <w:rPr>
          <w:color w:val="18181B"/>
        </w:rPr>
        <w:t>What didn't work / had to be revisited</w:t>
      </w:r>
    </w:p>
    <w:p>
      <w:pPr>
        <w:pStyle w:val="ListBullet"/>
      </w:pPr>
      <w:r>
        <w:t>The first version of this project (per-spot CNN classifier applied to pre-cropped, pre-calibrated images) does not actually satisfy an Object Detection deliverable -- it assumes spot locations are already known and never localizes anything itself. This was only caught by explicitly auditing the finished project against the course rubric, not during initial development. The fix (Sprint 4) was a genuine architecture change, not a relabeling: a real detector trained from scratch on two object classes, evaluated with detection metrics (AP/mAP), not classification accuracy alone.</w:t>
      </w:r>
    </w:p>
    <w:p>
      <w:pPr>
        <w:pStyle w:val="ListBullet"/>
      </w:pPr>
      <w:r>
        <w:t>Sample_06 (Section 5) shows the detector missing several real spots in one validation image, including a low-contrast gray car -- a similar failure mode to the one already documented in the classic-CV heuristic (which also struggles with cars close in color to the asphalt/lines). This suggests the remaining error is concentrated in genuinely low-contrast cases rather than being randomly distributed, and would be the first thing to target with more training data or contrast augmentation.</w:t>
      </w:r>
    </w:p>
    <w:p>
      <w:pPr>
        <w:pStyle w:val="ListBullet"/>
      </w:pPr>
      <w:r>
        <w:t>The lambda_coord=1.0 ablation collapsing to 0% mAP was a useful, if initially alarming, result -- it's a concrete demonstration of a known YOLO failure mode rather than a bug, and losing an afternoon to debugging "why is validation mAP exactly zero" before recognizing the pattern was a real part of this project's timeline.</w:t>
      </w:r>
    </w:p>
    <w:p>
      <w:pPr>
        <w:pStyle w:val="ListBullet"/>
      </w:pPr>
      <w:r>
        <w:t>The original "properly parked" geometry check and its classic-CV car-localization step were validated only on synthetic data; real photos (shadows, lighting, dense packing) are documented as an open limitation rather than glossed over.</w:t>
      </w:r>
    </w:p>
    <w:p>
      <w:pPr>
        <w:pStyle w:val="Heading2"/>
      </w:pPr>
      <w:r>
        <w:rPr>
          <w:color w:val="18181B"/>
        </w:rPr>
        <w:t>What we'd do differently</w:t>
      </w:r>
    </w:p>
    <w:p>
      <w:pPr>
        <w:pStyle w:val="ListBullet"/>
      </w:pPr>
      <w:r>
        <w:t>Audit the project against the grading rubric before building anything, not after -- it would have avoided building an entire classifier-only pipeline that needed to be substantially reworked.</w:t>
      </w:r>
    </w:p>
    <w:p>
      <w:pPr>
        <w:pStyle w:val="ListBullet"/>
      </w:pPr>
      <w:r>
        <w:t>Keep the raw PKLot COCO annotations (not just the derived crops) so the object detector could also be validated on real photos, not only synthetic ones -- this is the most important next step before treating the detector's real-world performance as proven.</w:t>
      </w:r>
    </w:p>
    <w:p>
      <w:pPr>
        <w:pStyle w:val="ListBullet"/>
      </w:pPr>
      <w:r>
        <w:t>Add image augmentation (random brightness/contrast, slight rotation) during detector training to target the low-contrast miss pattern identified above.</w:t>
      </w:r>
    </w:p>
    <w:p>
      <w:r>
        <w:br w:type="page"/>
      </w:r>
    </w:p>
    <w:p>
      <w:pPr>
        <w:pStyle w:val="Heading1"/>
      </w:pPr>
      <w:r>
        <w:rPr>
          <w:color w:val="18181B"/>
        </w:rPr>
        <w:t>9. Conclusion</w:t>
      </w:r>
    </w:p>
    <w:p>
      <w:r>
        <w:t>This project delivers a working object detector, trained from scratch, that finds and classifies parking spots as "empty_spot" or "occupied_spot" directly in full, uncalibrated lot photos, reaching 98.71% mAP@0.5 on held-out synthetic validation data -- clearing a majority-class baseline (53.3%) and this project's own earlier classic-CV heuristic (82.7%) by a wide margin. A second, complementary pipeline (occupancy classifier + geometric misparking check), separately validated on real PKLot photographs at 97.04% accuracy in an earlier session, remains available for cameras with known, calibrated spot boundaries. Both are served live through a Flask REST API and a browser demo that accepts an uploaded photo of any parking lot. The main open item before treating this as production-ready is validating the detector itself (not just the classifier) against real, non-synthetic photographs.</w:t>
      </w:r>
    </w:p>
    <w:p>
      <w:r>
        <w:br w:type="page"/>
      </w:r>
    </w:p>
    <w:p>
      <w:pPr>
        <w:pStyle w:val="Heading1"/>
      </w:pPr>
      <w:r>
        <w:rPr>
          <w:color w:val="18181B"/>
        </w:rPr>
        <w:t>10. Team Contributions</w:t>
      </w:r>
    </w:p>
    <w:p>
      <w:r>
        <w:t>[FILL IN — replace with each member's actual contribution before submission]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Name</w:t>
            </w:r>
          </w:p>
        </w:tc>
        <w:tc>
          <w:tcPr>
            <w:tcW w:type="dxa" w:w="4320"/>
          </w:tcPr>
          <w:p>
            <w:r>
              <w:rPr>
                <w:b/>
              </w:rPr>
              <w:t>Contribution</w:t>
            </w:r>
          </w:p>
        </w:tc>
      </w:tr>
      <w:tr>
        <w:tc>
          <w:tcPr>
            <w:tcW w:type="dxa" w:w="4320"/>
          </w:tcPr>
          <w:p>
            <w:r>
              <w:t>[FILL IN — Project Manager]</w:t>
            </w:r>
          </w:p>
        </w:tc>
        <w:tc>
          <w:tcPr>
            <w:tcW w:type="dxa" w:w="4320"/>
          </w:tcPr>
          <w:p>
            <w:r>
              <w:t>[FILL IN]</w:t>
            </w:r>
          </w:p>
        </w:tc>
      </w:tr>
      <w:tr>
        <w:tc>
          <w:tcPr>
            <w:tcW w:type="dxa" w:w="4320"/>
          </w:tcPr>
          <w:p>
            <w:r>
              <w:t>[FILL IN]</w:t>
            </w:r>
          </w:p>
        </w:tc>
        <w:tc>
          <w:tcPr>
            <w:tcW w:type="dxa" w:w="4320"/>
          </w:tcPr>
          <w:p>
            <w:r>
              <w:t>[FILL IN]</w:t>
            </w:r>
          </w:p>
        </w:tc>
      </w:tr>
      <w:tr>
        <w:tc>
          <w:tcPr>
            <w:tcW w:type="dxa" w:w="4320"/>
          </w:tcPr>
          <w:p>
            <w:r>
              <w:t>[FILL IN]</w:t>
            </w:r>
          </w:p>
        </w:tc>
        <w:tc>
          <w:tcPr>
            <w:tcW w:type="dxa" w:w="4320"/>
          </w:tcPr>
          <w:p>
            <w:r>
              <w:t>[FILL IN]</w:t>
            </w:r>
          </w:p>
        </w:tc>
      </w:tr>
      <w:tr>
        <w:tc>
          <w:tcPr>
            <w:tcW w:type="dxa" w:w="4320"/>
          </w:tcPr>
          <w:p>
            <w:r>
              <w:t>[FILL IN]</w:t>
            </w:r>
          </w:p>
        </w:tc>
        <w:tc>
          <w:tcPr>
            <w:tcW w:type="dxa" w:w="4320"/>
          </w:tcPr>
          <w:p>
            <w:r>
              <w:t>[FILL IN]</w:t>
            </w:r>
          </w:p>
        </w:tc>
      </w:tr>
      <w:tr>
        <w:tc>
          <w:tcPr>
            <w:tcW w:type="dxa" w:w="4320"/>
          </w:tcPr>
          <w:p>
            <w:r>
              <w:t>[FILL IN]</w:t>
            </w:r>
          </w:p>
        </w:tc>
        <w:tc>
          <w:tcPr>
            <w:tcW w:type="dxa" w:w="4320"/>
          </w:tcPr>
          <w:p>
            <w:r>
              <w:t>[FILL IN]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