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ChiralFold:</w:t>
      </w:r>
      <w:r>
        <w:t xml:space="preserve"> </w:t>
      </w:r>
      <w:r>
        <w:t xml:space="preserve">Systematic</w:t>
      </w:r>
      <w:r>
        <w:t xml:space="preserve"> </w:t>
      </w:r>
      <w:r>
        <w:t xml:space="preserve">Detection</w:t>
      </w:r>
      <w:r>
        <w:t xml:space="preserve"> </w:t>
      </w:r>
      <w:r>
        <w:t xml:space="preserve">of</w:t>
      </w:r>
      <w:r>
        <w:t xml:space="preserve"> </w:t>
      </w:r>
      <w:r>
        <w:t xml:space="preserve">D-Amino</w:t>
      </w:r>
      <w:r>
        <w:t xml:space="preserve"> </w:t>
      </w:r>
      <w:r>
        <w:t xml:space="preserve">Acid</w:t>
      </w:r>
      <w:r>
        <w:t xml:space="preserve"> </w:t>
      </w:r>
      <w:r>
        <w:t xml:space="preserve">Stereochemistry</w:t>
      </w:r>
      <w:r>
        <w:t xml:space="preserve"> </w:t>
      </w:r>
      <w:r>
        <w:t xml:space="preserve">Errors</w:t>
      </w:r>
      <w:r>
        <w:t xml:space="preserve"> </w:t>
      </w:r>
      <w:r>
        <w:t xml:space="preserve">in</w:t>
      </w:r>
      <w:r>
        <w:t xml:space="preserve"> </w:t>
      </w:r>
      <w:r>
        <w:t xml:space="preserve">the</w:t>
      </w:r>
      <w:r>
        <w:t xml:space="preserve"> </w:t>
      </w:r>
      <w:r>
        <w:t xml:space="preserve">Protein</w:t>
      </w:r>
      <w:r>
        <w:t xml:space="preserve"> </w:t>
      </w:r>
      <w:r>
        <w:t xml:space="preserve">Data</w:t>
      </w:r>
      <w:r>
        <w:t xml:space="preserve"> </w:t>
      </w:r>
      <w:r>
        <w:t xml:space="preserve">Bank</w:t>
      </w:r>
    </w:p>
    <w:p>
      <w:pPr>
        <w:pStyle w:val="Author"/>
      </w:pPr>
      <w:r>
        <w:t xml:space="preserve">Tommaso</w:t>
      </w:r>
      <w:r>
        <w:t xml:space="preserve"> </w:t>
      </w:r>
      <w:r>
        <w:t xml:space="preserve">R. Marena</w:t>
      </w:r>
      <w:r>
        <w:br/>
      </w:r>
      <w:r>
        <w:rPr>
          <w:i/>
          <w:iCs/>
        </w:rPr>
        <w:t xml:space="preserve">The</w:t>
      </w:r>
      <w:r>
        <w:rPr>
          <w:i/>
          <w:iCs/>
        </w:rPr>
        <w:t xml:space="preserve"> </w:t>
      </w:r>
      <w:r>
        <w:rPr>
          <w:i/>
          <w:iCs/>
        </w:rPr>
        <w:t xml:space="preserve">Catholic</w:t>
      </w:r>
      <w:r>
        <w:rPr>
          <w:i/>
          <w:iCs/>
        </w:rPr>
        <w:t xml:space="preserve"> </w:t>
      </w:r>
      <w:r>
        <w:rPr>
          <w:i/>
          <w:iCs/>
        </w:rPr>
        <w:t xml:space="preserve">University</w:t>
      </w:r>
      <w:r>
        <w:rPr>
          <w:i/>
          <w:iCs/>
        </w:rPr>
        <w:t xml:space="preserve"> </w:t>
      </w:r>
      <w:r>
        <w:rPr>
          <w:i/>
          <w:iCs/>
        </w:rPr>
        <w:t xml:space="preserve">of</w:t>
      </w:r>
      <w:r>
        <w:rPr>
          <w:i/>
          <w:iCs/>
        </w:rPr>
        <w:t xml:space="preserve"> </w:t>
      </w:r>
      <w:r>
        <w:rPr>
          <w:i/>
          <w:iCs/>
        </w:rPr>
        <w:t xml:space="preserve">America,</w:t>
      </w:r>
      <w:r>
        <w:rPr>
          <w:i/>
          <w:iCs/>
        </w:rPr>
        <w:t xml:space="preserve"> </w:t>
      </w:r>
      <w:r>
        <w:rPr>
          <w:i/>
          <w:iCs/>
        </w:rPr>
        <w:t xml:space="preserve">Washington,</w:t>
      </w:r>
      <w:r>
        <w:rPr>
          <w:i/>
          <w:iCs/>
        </w:rPr>
        <w:t xml:space="preserve"> </w:t>
      </w:r>
      <w:r>
        <w:rPr>
          <w:i/>
          <w:iCs/>
        </w:rPr>
        <w:t xml:space="preserve">DC</w:t>
      </w:r>
      <w:r>
        <w:br/>
      </w:r>
      <w:r>
        <w:rPr>
          <w:rStyle w:val="VerbatimChar"/>
        </w:rPr>
        <w:t xml:space="preserve">marena@cua.edu</w:t>
      </w:r>
    </w:p>
    <w:p>
      <w:pPr>
        <w:pStyle w:val="AbstractTitle"/>
      </w:pPr>
      <w:r>
        <w:t xml:space="preserve">Abstract</w:t>
      </w:r>
    </w:p>
    <w:p>
      <w:pPr>
        <w:pStyle w:val="Abstract"/>
      </w:pPr>
      <w:r>
        <w:t xml:space="preserve">We</w:t>
      </w:r>
      <w:r>
        <w:t xml:space="preserve"> </w:t>
      </w:r>
      <w:r>
        <w:t xml:space="preserve">present</w:t>
      </w:r>
      <w:r>
        <w:t xml:space="preserve"> </w:t>
      </w:r>
      <w:r>
        <w:t xml:space="preserve">ChiralFold,</w:t>
      </w:r>
      <w:r>
        <w:t xml:space="preserve"> </w:t>
      </w:r>
      <w:r>
        <w:t xml:space="preserve">a</w:t>
      </w:r>
      <w:r>
        <w:t xml:space="preserve"> </w:t>
      </w:r>
      <w:r>
        <w:t xml:space="preserve">general-purpose</w:t>
      </w:r>
      <w:r>
        <w:t xml:space="preserve"> </w:t>
      </w:r>
      <w:r>
        <w:t xml:space="preserve">protein</w:t>
      </w:r>
      <w:r>
        <w:t xml:space="preserve"> </w:t>
      </w:r>
      <w:r>
        <w:t xml:space="preserve">stereochemistry</w:t>
      </w:r>
      <w:r>
        <w:t xml:space="preserve"> </w:t>
      </w:r>
      <w:r>
        <w:t xml:space="preserve">toolkit</w:t>
      </w:r>
      <w:r>
        <w:t xml:space="preserve"> </w:t>
      </w:r>
      <w:r>
        <w:t xml:space="preserve">that</w:t>
      </w:r>
      <w:r>
        <w:t xml:space="preserve"> </w:t>
      </w:r>
      <w:r>
        <w:t xml:space="preserve">provides</w:t>
      </w:r>
      <w:r>
        <w:t xml:space="preserve"> </w:t>
      </w:r>
      <w:r>
        <w:t xml:space="preserve">chirality-correct</w:t>
      </w:r>
      <w:r>
        <w:t xml:space="preserve"> </w:t>
      </w:r>
      <w:r>
        <w:t xml:space="preserve">coordinate</w:t>
      </w:r>
      <w:r>
        <w:t xml:space="preserve"> </w:t>
      </w:r>
      <w:r>
        <w:t xml:space="preserve">generation,</w:t>
      </w:r>
      <w:r>
        <w:t xml:space="preserve"> </w:t>
      </w:r>
      <w:r>
        <w:t xml:space="preserve">PDB</w:t>
      </w:r>
      <w:r>
        <w:t xml:space="preserve"> </w:t>
      </w:r>
      <w:r>
        <w:t xml:space="preserve">structure</w:t>
      </w:r>
      <w:r>
        <w:t xml:space="preserve"> </w:t>
      </w:r>
      <w:r>
        <w:t xml:space="preserve">auditing,</w:t>
      </w:r>
      <w:r>
        <w:t xml:space="preserve"> </w:t>
      </w:r>
      <w:r>
        <w:t xml:space="preserve">and</w:t>
      </w:r>
      <w:r>
        <w:t xml:space="preserve"> </w:t>
      </w:r>
      <w:r>
        <w:t xml:space="preserve">mirror-image</w:t>
      </w:r>
      <w:r>
        <w:t xml:space="preserve"> </w:t>
      </w:r>
      <w:r>
        <w:t xml:space="preserve">L</w:t>
      </w:r>
      <m:oMath>
        <m:r>
          <m:rPr>
            <m:sty m:val="p"/>
          </m:rPr>
          <m:t>↔</m:t>
        </m:r>
      </m:oMath>
      <w:r>
        <w:t xml:space="preserve">D</w:t>
      </w:r>
      <w:r>
        <w:t xml:space="preserve"> </w:t>
      </w:r>
      <w:r>
        <w:t xml:space="preserve">transformation.</w:t>
      </w:r>
      <w:r>
        <w:t xml:space="preserve"> </w:t>
      </w:r>
      <w:r>
        <w:t xml:space="preserve">An</w:t>
      </w:r>
      <w:r>
        <w:t xml:space="preserve"> </w:t>
      </w:r>
      <w:r>
        <w:t xml:space="preserve">independent</w:t>
      </w:r>
      <w:r>
        <w:t xml:space="preserve"> </w:t>
      </w:r>
      <w:r>
        <w:t xml:space="preserve">verification</w:t>
      </w:r>
      <w:r>
        <w:t xml:space="preserve"> </w:t>
      </w:r>
      <w:r>
        <w:t xml:space="preserve">of</w:t>
      </w:r>
      <w:r>
        <w:t xml:space="preserve"> </w:t>
      </w:r>
      <w:r>
        <w:t xml:space="preserve">1,677</w:t>
      </w:r>
      <w:r>
        <w:t xml:space="preserve"> </w:t>
      </w:r>
      <w:r>
        <w:t xml:space="preserve">D-amino</w:t>
      </w:r>
      <w:r>
        <w:t xml:space="preserve"> </w:t>
      </w:r>
      <w:r>
        <w:t xml:space="preserve">acid</w:t>
      </w:r>
      <w:r>
        <w:t xml:space="preserve"> </w:t>
      </w:r>
      <w:r>
        <w:t xml:space="preserve">residues</w:t>
      </w:r>
      <w:r>
        <w:t xml:space="preserve"> </w:t>
      </w:r>
      <w:r>
        <w:t xml:space="preserve">across</w:t>
      </w:r>
      <w:r>
        <w:t xml:space="preserve"> </w:t>
      </w:r>
      <w:r>
        <w:t xml:space="preserve">231</w:t>
      </w:r>
      <w:r>
        <w:t xml:space="preserve"> </w:t>
      </w:r>
      <w:r>
        <w:t xml:space="preserve">PDB</w:t>
      </w:r>
      <w:r>
        <w:t xml:space="preserve"> </w:t>
      </w:r>
      <w:r>
        <w:t xml:space="preserve">files</w:t>
      </w:r>
      <w:r>
        <w:t xml:space="preserve"> </w:t>
      </w:r>
      <w:r>
        <w:t xml:space="preserve">—</w:t>
      </w:r>
      <w:r>
        <w:t xml:space="preserve"> </w:t>
      </w:r>
      <w:r>
        <w:t xml:space="preserve">using</w:t>
      </w:r>
      <w:r>
        <w:t xml:space="preserve"> </w:t>
      </w:r>
      <w:r>
        <w:t xml:space="preserve">only</w:t>
      </w:r>
      <w:r>
        <w:t xml:space="preserve"> </w:t>
      </w:r>
      <w:r>
        <w:t xml:space="preserve">the</w:t>
      </w:r>
      <w:r>
        <w:t xml:space="preserve"> </w:t>
      </w:r>
      <w:r>
        <w:t xml:space="preserve">signed</w:t>
      </w:r>
      <w:r>
        <w:t xml:space="preserve"> </w:t>
      </w:r>
      <w:r>
        <w:t xml:space="preserve">tetrahedron</w:t>
      </w:r>
      <w:r>
        <w:t xml:space="preserve"> </w:t>
      </w:r>
      <w:r>
        <w:t xml:space="preserve">volume</w:t>
      </w:r>
      <w:r>
        <w:t xml:space="preserve"> </w:t>
      </w:r>
      <w:r>
        <w:t xml:space="preserve">at</w:t>
      </w:r>
      <w:r>
        <w:t xml:space="preserve"> </w:t>
      </w:r>
      <w:r>
        <w:t xml:space="preserve">each</w:t>
      </w:r>
      <w:r>
        <w:t xml:space="preserve"> </w:t>
      </w:r>
      <w:r>
        <w:t xml:space="preserve">C</w:t>
      </w:r>
      <m:oMath>
        <m:sSub>
          <m:e>
            <m:r>
              <m:t>​</m:t>
            </m:r>
          </m:e>
          <m:sub>
            <m:r>
              <m:t>α</m:t>
            </m:r>
          </m:sub>
        </m:sSub>
      </m:oMath>
      <w:r>
        <w:t xml:space="preserve"> </w:t>
      </w:r>
      <w:r>
        <w:t xml:space="preserve">—</w:t>
      </w:r>
      <w:r>
        <w:t xml:space="preserve"> </w:t>
      </w:r>
      <w:r>
        <w:t xml:space="preserve">identified</w:t>
      </w:r>
      <w:r>
        <w:t xml:space="preserve"> </w:t>
      </w:r>
      <w:r>
        <w:t xml:space="preserve">21</w:t>
      </w:r>
      <w:r>
        <w:t xml:space="preserve"> </w:t>
      </w:r>
      <w:r>
        <w:t xml:space="preserve">chirality</w:t>
      </w:r>
      <w:r>
        <w:t xml:space="preserve"> </w:t>
      </w:r>
      <w:r>
        <w:t xml:space="preserve">errors</w:t>
      </w:r>
      <w:r>
        <w:t xml:space="preserve"> </w:t>
      </w:r>
      <w:r>
        <w:t xml:space="preserve">(1.3%</w:t>
      </w:r>
      <w:r>
        <w:t xml:space="preserve"> </w:t>
      </w:r>
      <w:r>
        <w:t xml:space="preserve">error</w:t>
      </w:r>
      <w:r>
        <w:t xml:space="preserve"> </w:t>
      </w:r>
      <w:r>
        <w:t xml:space="preserve">rate)</w:t>
      </w:r>
      <w:r>
        <w:t xml:space="preserve"> </w:t>
      </w:r>
      <w:r>
        <w:t xml:space="preserve">in</w:t>
      </w:r>
      <w:r>
        <w:t xml:space="preserve"> </w:t>
      </w:r>
      <w:r>
        <w:t xml:space="preserve">12</w:t>
      </w:r>
      <w:r>
        <w:t xml:space="preserve"> </w:t>
      </w:r>
      <w:r>
        <w:t xml:space="preserve">deposited</w:t>
      </w:r>
      <w:r>
        <w:t xml:space="preserve"> </w:t>
      </w:r>
      <w:r>
        <w:t xml:space="preserve">structures</w:t>
      </w:r>
      <w:r>
        <w:t xml:space="preserve"> </w:t>
      </w:r>
      <w:r>
        <w:t xml:space="preserve">where</w:t>
      </w:r>
      <w:r>
        <w:t xml:space="preserve"> </w:t>
      </w:r>
      <w:r>
        <w:t xml:space="preserve">C</w:t>
      </w:r>
      <m:oMath>
        <m:sSub>
          <m:e>
            <m:r>
              <m:t>​</m:t>
            </m:r>
          </m:e>
          <m:sub>
            <m:r>
              <m:t>α</m:t>
            </m:r>
          </m:sub>
        </m:sSub>
      </m:oMath>
      <w:r>
        <w:t xml:space="preserve"> </w:t>
      </w:r>
      <w:r>
        <w:t xml:space="preserve">coordinates</w:t>
      </w:r>
      <w:r>
        <w:t xml:space="preserve"> </w:t>
      </w:r>
      <w:r>
        <w:t xml:space="preserve">show</w:t>
      </w:r>
      <w:r>
        <w:t xml:space="preserve"> </w:t>
      </w:r>
      <w:r>
        <w:t xml:space="preserve">L-stereochemistry</w:t>
      </w:r>
      <w:r>
        <w:t xml:space="preserve"> </w:t>
      </w:r>
      <w:r>
        <w:t xml:space="preserve">despite</w:t>
      </w:r>
      <w:r>
        <w:t xml:space="preserve"> </w:t>
      </w:r>
      <w:r>
        <w:t xml:space="preserve">D-amino</w:t>
      </w:r>
      <w:r>
        <w:t xml:space="preserve"> </w:t>
      </w:r>
      <w:r>
        <w:t xml:space="preserve">acid</w:t>
      </w:r>
      <w:r>
        <w:t xml:space="preserve"> </w:t>
      </w:r>
      <w:r>
        <w:t xml:space="preserve">labels.</w:t>
      </w:r>
      <w:r>
        <w:t xml:space="preserve"> </w:t>
      </w:r>
      <w:r>
        <w:t xml:space="preserve">Bulletproof</w:t>
      </w:r>
      <w:r>
        <w:t xml:space="preserve"> </w:t>
      </w:r>
      <w:r>
        <w:t xml:space="preserve">verification</w:t>
      </w:r>
      <w:r>
        <w:t xml:space="preserve"> </w:t>
      </w:r>
      <w:r>
        <w:t xml:space="preserve">with</w:t>
      </w:r>
      <w:r>
        <w:t xml:space="preserve"> </w:t>
      </w:r>
      <w:r>
        <w:t xml:space="preserve">five</w:t>
      </w:r>
      <w:r>
        <w:t xml:space="preserve"> </w:t>
      </w:r>
      <w:r>
        <w:t xml:space="preserve">independent</w:t>
      </w:r>
      <w:r>
        <w:t xml:space="preserve"> </w:t>
      </w:r>
      <w:r>
        <w:t xml:space="preserve">checks</w:t>
      </w:r>
      <w:r>
        <w:t xml:space="preserve"> </w:t>
      </w:r>
      <w:r>
        <w:t xml:space="preserve">confirms</w:t>
      </w:r>
      <w:r>
        <w:t xml:space="preserve"> </w:t>
      </w:r>
      <w:r>
        <w:t xml:space="preserve">20</w:t>
      </w:r>
      <w:r>
        <w:t xml:space="preserve"> </w:t>
      </w:r>
      <w:r>
        <w:t xml:space="preserve">errors</w:t>
      </w:r>
      <w:r>
        <w:t xml:space="preserve"> </w:t>
      </w:r>
      <w:r>
        <w:t xml:space="preserve">in</w:t>
      </w:r>
      <w:r>
        <w:t xml:space="preserve"> </w:t>
      </w:r>
      <w:r>
        <w:t xml:space="preserve">11</w:t>
      </w:r>
      <w:r>
        <w:t xml:space="preserve"> </w:t>
      </w:r>
      <w:r>
        <w:t xml:space="preserve">structures,</w:t>
      </w:r>
      <w:r>
        <w:t xml:space="preserve"> </w:t>
      </w:r>
      <w:r>
        <w:t xml:space="preserve">with</w:t>
      </w:r>
      <w:r>
        <w:t xml:space="preserve"> </w:t>
      </w:r>
      <w:r>
        <w:t xml:space="preserve">one</w:t>
      </w:r>
      <w:r>
        <w:t xml:space="preserve"> </w:t>
      </w:r>
      <w:r>
        <w:t xml:space="preserve">borderline</w:t>
      </w:r>
      <w:r>
        <w:t xml:space="preserve"> </w:t>
      </w:r>
      <w:r>
        <w:t xml:space="preserve">case</w:t>
      </w:r>
      <w:r>
        <w:t xml:space="preserve"> </w:t>
      </w:r>
      <w:r>
        <w:t xml:space="preserve">(1KO0,</w:t>
      </w:r>
      <w:r>
        <w:t xml:space="preserve"> </w:t>
      </w:r>
      <w:r>
        <w:t xml:space="preserve">signed</w:t>
      </w:r>
      <w:r>
        <w:t xml:space="preserve"> </w:t>
      </w:r>
      <w:r>
        <w:t xml:space="preserve">volume</w:t>
      </w:r>
      <w:r>
        <w:t xml:space="preserve"> </w:t>
      </w:r>
      <m:oMath>
        <m:r>
          <m:rPr>
            <m:sty m:val="p"/>
          </m:rPr>
          <m:t>+</m:t>
        </m:r>
        <m:r>
          <m:t>0.12</m:t>
        </m:r>
      </m:oMath>
      <w:r>
        <w:t xml:space="preserve">).</w:t>
      </w:r>
      <w:r>
        <w:t xml:space="preserve"> </w:t>
      </w:r>
      <w:r>
        <w:t xml:space="preserve">All</w:t>
      </w:r>
      <w:r>
        <w:t xml:space="preserve"> </w:t>
      </w:r>
      <w:r>
        <w:t xml:space="preserve">12</w:t>
      </w:r>
      <w:r>
        <w:t xml:space="preserve"> </w:t>
      </w:r>
      <w:r>
        <w:t xml:space="preserve">error-containing</w:t>
      </w:r>
      <w:r>
        <w:t xml:space="preserve"> </w:t>
      </w:r>
      <w:r>
        <w:t xml:space="preserve">structures</w:t>
      </w:r>
      <w:r>
        <w:t xml:space="preserve"> </w:t>
      </w:r>
      <w:r>
        <w:t xml:space="preserve">were</w:t>
      </w:r>
      <w:r>
        <w:t xml:space="preserve"> </w:t>
      </w:r>
      <w:r>
        <w:t xml:space="preserve">deposited</w:t>
      </w:r>
      <w:r>
        <w:t xml:space="preserve"> </w:t>
      </w:r>
      <w:r>
        <w:t xml:space="preserve">between</w:t>
      </w:r>
      <w:r>
        <w:t xml:space="preserve"> </w:t>
      </w:r>
      <w:r>
        <w:t xml:space="preserve">1992</w:t>
      </w:r>
      <w:r>
        <w:t xml:space="preserve"> </w:t>
      </w:r>
      <w:r>
        <w:t xml:space="preserve">and</w:t>
      </w:r>
      <w:r>
        <w:t xml:space="preserve"> </w:t>
      </w:r>
      <w:r>
        <w:t xml:space="preserve">2005,</w:t>
      </w:r>
      <w:r>
        <w:t xml:space="preserve"> </w:t>
      </w:r>
      <w:r>
        <w:t xml:space="preserve">with</w:t>
      </w:r>
      <w:r>
        <w:t xml:space="preserve"> </w:t>
      </w:r>
      <w:r>
        <w:t xml:space="preserve">zero</w:t>
      </w:r>
      <w:r>
        <w:t xml:space="preserve"> </w:t>
      </w:r>
      <w:r>
        <w:t xml:space="preserve">errors</w:t>
      </w:r>
      <w:r>
        <w:t xml:space="preserve"> </w:t>
      </w:r>
      <w:r>
        <w:t xml:space="preserve">in</w:t>
      </w:r>
      <w:r>
        <w:t xml:space="preserve"> </w:t>
      </w:r>
      <w:r>
        <w:t xml:space="preserve">post-2005</w:t>
      </w:r>
      <w:r>
        <w:t xml:space="preserve"> </w:t>
      </w:r>
      <w:r>
        <w:t xml:space="preserve">entries</w:t>
      </w:r>
      <w:r>
        <w:t xml:space="preserve"> </w:t>
      </w:r>
      <w:r>
        <w:t xml:space="preserve">(Mann–Whitney</w:t>
      </w:r>
      <w:r>
        <w:t xml:space="preserve"> </w:t>
      </w:r>
      <m:oMath>
        <m:r>
          <m:t>U</m:t>
        </m:r>
        <m:r>
          <m:rPr>
            <m:sty m:val="p"/>
          </m:rPr>
          <m:t>=</m:t>
        </m:r>
        <m:r>
          <m:t>278</m:t>
        </m:r>
      </m:oMath>
      <w:r>
        <w:t xml:space="preserve">,</w:t>
      </w:r>
      <w:r>
        <w:t xml:space="preserve"> </w:t>
      </w:r>
      <m:oMath>
        <m:r>
          <m:t>p</m:t>
        </m:r>
        <m:r>
          <m:rPr>
            <m:sty m:val="p"/>
          </m:rPr>
          <m:t>=</m:t>
        </m:r>
        <m:r>
          <m:t>0.0027</m:t>
        </m:r>
      </m:oMath>
      <w:r>
        <w:t xml:space="preserve">),</w:t>
      </w:r>
      <w:r>
        <w:t xml:space="preserve"> </w:t>
      </w:r>
      <w:r>
        <w:t xml:space="preserve">consistent</w:t>
      </w:r>
      <w:r>
        <w:t xml:space="preserve"> </w:t>
      </w:r>
      <w:r>
        <w:t xml:space="preserve">with</w:t>
      </w:r>
      <w:r>
        <w:t xml:space="preserve"> </w:t>
      </w:r>
      <w:r>
        <w:t xml:space="preserve">the</w:t>
      </w:r>
      <w:r>
        <w:t xml:space="preserve"> </w:t>
      </w:r>
      <w:r>
        <w:t xml:space="preserve">2006–2008</w:t>
      </w:r>
      <w:r>
        <w:t xml:space="preserve"> </w:t>
      </w:r>
      <w:r>
        <w:t xml:space="preserve">wwPDB</w:t>
      </w:r>
      <w:r>
        <w:t xml:space="preserve"> </w:t>
      </w:r>
      <w:r>
        <w:t xml:space="preserve">remediation.</w:t>
      </w:r>
      <w:r>
        <w:t xml:space="preserve"> </w:t>
      </w:r>
      <w:r>
        <w:t xml:space="preserve">Resolution</w:t>
      </w:r>
      <w:r>
        <w:t xml:space="preserve"> </w:t>
      </w:r>
      <w:r>
        <w:t xml:space="preserve">does</w:t>
      </w:r>
      <w:r>
        <w:t xml:space="preserve"> </w:t>
      </w:r>
      <w:r>
        <w:t xml:space="preserve">not</w:t>
      </w:r>
      <w:r>
        <w:t xml:space="preserve"> </w:t>
      </w:r>
      <w:r>
        <w:t xml:space="preserve">predict</w:t>
      </w:r>
      <w:r>
        <w:t xml:space="preserve"> </w:t>
      </w:r>
      <w:r>
        <w:t xml:space="preserve">errors</w:t>
      </w:r>
      <w:r>
        <w:t xml:space="preserve"> </w:t>
      </w:r>
      <w:r>
        <w:t xml:space="preserve">(</w:t>
      </w:r>
      <m:oMath>
        <m:r>
          <m:t>p</m:t>
        </m:r>
        <m:r>
          <m:rPr>
            <m:sty m:val="p"/>
          </m:rPr>
          <m:t>=</m:t>
        </m:r>
        <m:r>
          <m:t>0.19</m:t>
        </m:r>
      </m:oMath>
      <w:r>
        <w:t xml:space="preserve">);</w:t>
      </w:r>
      <w:r>
        <w:t xml:space="preserve"> </w:t>
      </w:r>
      <w:r>
        <w:t xml:space="preserve">errors</w:t>
      </w:r>
      <w:r>
        <w:t xml:space="preserve"> </w:t>
      </w:r>
      <w:r>
        <w:t xml:space="preserve">span</w:t>
      </w:r>
      <w:r>
        <w:t xml:space="preserve"> </w:t>
      </w:r>
      <w:r>
        <w:t xml:space="preserve">0.99–2.70 Å,</w:t>
      </w:r>
      <w:r>
        <w:t xml:space="preserve"> </w:t>
      </w:r>
      <w:r>
        <w:t xml:space="preserve">indicating</w:t>
      </w:r>
      <w:r>
        <w:t xml:space="preserve"> </w:t>
      </w:r>
      <w:r>
        <w:t xml:space="preserve">a</w:t>
      </w:r>
      <w:r>
        <w:t xml:space="preserve"> </w:t>
      </w:r>
      <w:r>
        <w:t xml:space="preserve">labeling</w:t>
      </w:r>
      <w:r>
        <w:t xml:space="preserve"> </w:t>
      </w:r>
      <w:r>
        <w:t xml:space="preserve">problem</w:t>
      </w:r>
      <w:r>
        <w:t xml:space="preserve"> </w:t>
      </w:r>
      <w:r>
        <w:t xml:space="preserve">rather</w:t>
      </w:r>
      <w:r>
        <w:t xml:space="preserve"> </w:t>
      </w:r>
      <w:r>
        <w:t xml:space="preserve">than</w:t>
      </w:r>
      <w:r>
        <w:t xml:space="preserve"> </w:t>
      </w:r>
      <w:r>
        <w:t xml:space="preserve">a</w:t>
      </w:r>
      <w:r>
        <w:t xml:space="preserve"> </w:t>
      </w:r>
      <w:r>
        <w:t xml:space="preserve">data</w:t>
      </w:r>
      <w:r>
        <w:t xml:space="preserve"> </w:t>
      </w:r>
      <w:r>
        <w:t xml:space="preserve">quality</w:t>
      </w:r>
      <w:r>
        <w:t xml:space="preserve"> </w:t>
      </w:r>
      <w:r>
        <w:t xml:space="preserve">problem.</w:t>
      </w:r>
      <w:r>
        <w:t xml:space="preserve"> </w:t>
      </w:r>
      <w:r>
        <w:t xml:space="preserve">ChiralFold’s</w:t>
      </w:r>
      <w:r>
        <w:t xml:space="preserve"> </w:t>
      </w:r>
      <w:r>
        <w:t xml:space="preserve">auditor,</w:t>
      </w:r>
      <w:r>
        <w:t xml:space="preserve"> </w:t>
      </w:r>
      <w:r>
        <w:t xml:space="preserve">calibrated</w:t>
      </w:r>
      <w:r>
        <w:t xml:space="preserve"> </w:t>
      </w:r>
      <w:r>
        <w:t xml:space="preserve">against</w:t>
      </w:r>
      <w:r>
        <w:t xml:space="preserve"> </w:t>
      </w:r>
      <w:r>
        <w:t xml:space="preserve">wwPDB/MolProbity</w:t>
      </w:r>
      <w:r>
        <w:t xml:space="preserve"> </w:t>
      </w:r>
      <w:r>
        <w:t xml:space="preserve">validation</w:t>
      </w:r>
      <w:r>
        <w:t xml:space="preserve"> </w:t>
      </w:r>
      <w:r>
        <w:t xml:space="preserve">reports</w:t>
      </w:r>
      <w:r>
        <w:t xml:space="preserve"> </w:t>
      </w:r>
      <w:r>
        <w:t xml:space="preserve">on</w:t>
      </w:r>
      <w:r>
        <w:t xml:space="preserve"> </w:t>
      </w:r>
      <w:r>
        <w:t xml:space="preserve">31</w:t>
      </w:r>
      <w:r>
        <w:t xml:space="preserve"> </w:t>
      </w:r>
      <w:r>
        <w:t xml:space="preserve">structures</w:t>
      </w:r>
      <w:r>
        <w:t xml:space="preserve"> </w:t>
      </w:r>
      <w:r>
        <w:t xml:space="preserve">(Ramachandran</w:t>
      </w:r>
      <w:r>
        <w:t xml:space="preserve"> </w:t>
      </w:r>
      <w:r>
        <w:t xml:space="preserve">outlier</w:t>
      </w:r>
      <w:r>
        <w:t xml:space="preserve"> </w:t>
      </w:r>
      <w:r>
        <w:t xml:space="preserve">Spearman</w:t>
      </w:r>
      <w:r>
        <w:t xml:space="preserve"> </w:t>
      </w:r>
      <m:oMath>
        <m:r>
          <m:t>ρ</m:t>
        </m:r>
        <m:r>
          <m:rPr>
            <m:sty m:val="p"/>
          </m:rPr>
          <m:t>=</m:t>
        </m:r>
        <m:r>
          <m:t>0.49</m:t>
        </m:r>
      </m:oMath>
      <w:r>
        <w:t xml:space="preserve">,</w:t>
      </w:r>
      <w:r>
        <w:t xml:space="preserve"> </w:t>
      </w:r>
      <m:oMath>
        <m:r>
          <m:t>p</m:t>
        </m:r>
        <m:r>
          <m:rPr>
            <m:sty m:val="p"/>
          </m:rPr>
          <m:t>=</m:t>
        </m:r>
        <m:r>
          <m:t>0.006</m:t>
        </m:r>
      </m:oMath>
      <w:r>
        <w:t xml:space="preserve">),</w:t>
      </w:r>
      <w:r>
        <w:t xml:space="preserve"> </w:t>
      </w:r>
      <w:r>
        <w:t xml:space="preserve">fills</w:t>
      </w:r>
      <w:r>
        <w:t xml:space="preserve"> </w:t>
      </w:r>
      <w:r>
        <w:t xml:space="preserve">a</w:t>
      </w:r>
      <w:r>
        <w:t xml:space="preserve"> </w:t>
      </w:r>
      <w:r>
        <w:t xml:space="preserve">gap</w:t>
      </w:r>
      <w:r>
        <w:t xml:space="preserve"> </w:t>
      </w:r>
      <w:r>
        <w:t xml:space="preserve">in</w:t>
      </w:r>
      <w:r>
        <w:t xml:space="preserve"> </w:t>
      </w:r>
      <w:r>
        <w:t xml:space="preserve">existing</w:t>
      </w:r>
      <w:r>
        <w:t xml:space="preserve"> </w:t>
      </w:r>
      <w:r>
        <w:t xml:space="preserve">validation</w:t>
      </w:r>
      <w:r>
        <w:t xml:space="preserve"> </w:t>
      </w:r>
      <w:r>
        <w:t xml:space="preserve">pipelines:</w:t>
      </w:r>
      <w:r>
        <w:t xml:space="preserve"> </w:t>
      </w:r>
      <w:r>
        <w:t xml:space="preserve">MolProbity</w:t>
      </w:r>
      <w:r>
        <w:t xml:space="preserve"> </w:t>
      </w:r>
      <w:r>
        <w:t xml:space="preserve">does</w:t>
      </w:r>
      <w:r>
        <w:t xml:space="preserve"> </w:t>
      </w:r>
      <w:r>
        <w:t xml:space="preserve">not</w:t>
      </w:r>
      <w:r>
        <w:t xml:space="preserve"> </w:t>
      </w:r>
      <w:r>
        <w:t xml:space="preserve">check</w:t>
      </w:r>
      <w:r>
        <w:t xml:space="preserve"> </w:t>
      </w:r>
      <w:r>
        <w:t xml:space="preserve">D-amino</w:t>
      </w:r>
      <w:r>
        <w:t xml:space="preserve"> </w:t>
      </w:r>
      <w:r>
        <w:t xml:space="preserve">acid</w:t>
      </w:r>
      <w:r>
        <w:t xml:space="preserve"> </w:t>
      </w:r>
      <w:r>
        <w:t xml:space="preserve">stereochemistry.</w:t>
      </w:r>
      <w:r>
        <w:t xml:space="preserve"> </w:t>
      </w:r>
      <w:r>
        <w:t xml:space="preserve">The</w:t>
      </w:r>
      <w:r>
        <w:t xml:space="preserve"> </w:t>
      </w:r>
      <w:r>
        <w:t xml:space="preserve">toolkit</w:t>
      </w:r>
      <w:r>
        <w:t xml:space="preserve"> </w:t>
      </w:r>
      <w:r>
        <w:t xml:space="preserve">also</w:t>
      </w:r>
      <w:r>
        <w:t xml:space="preserve"> </w:t>
      </w:r>
      <w:r>
        <w:t xml:space="preserve">includes</w:t>
      </w:r>
      <w:r>
        <w:t xml:space="preserve"> </w:t>
      </w:r>
      <w:r>
        <w:t xml:space="preserve">an</w:t>
      </w:r>
      <w:r>
        <w:t xml:space="preserve"> </w:t>
      </w:r>
      <w:r>
        <w:t xml:space="preserve">AlphaFold 3</w:t>
      </w:r>
      <w:r>
        <w:t xml:space="preserve"> </w:t>
      </w:r>
      <w:r>
        <w:t xml:space="preserve">chirality</w:t>
      </w:r>
      <w:r>
        <w:t xml:space="preserve"> </w:t>
      </w:r>
      <w:r>
        <w:t xml:space="preserve">correction</w:t>
      </w:r>
      <w:r>
        <w:t xml:space="preserve"> </w:t>
      </w:r>
      <w:r>
        <w:t xml:space="preserve">pipeline</w:t>
      </w:r>
      <w:r>
        <w:t xml:space="preserve"> </w:t>
      </w:r>
      <w:r>
        <w:t xml:space="preserve">addressing</w:t>
      </w:r>
      <w:r>
        <w:t xml:space="preserve"> </w:t>
      </w:r>
      <w:r>
        <w:t xml:space="preserve">the</w:t>
      </w:r>
      <w:r>
        <w:t xml:space="preserve"> </w:t>
      </w:r>
      <w:r>
        <w:t xml:space="preserve">documented</w:t>
      </w:r>
      <w:r>
        <w:t xml:space="preserve"> </w:t>
      </w:r>
      <w:r>
        <w:t xml:space="preserve">51%</w:t>
      </w:r>
      <w:r>
        <w:t xml:space="preserve"> </w:t>
      </w:r>
      <w:r>
        <w:t xml:space="preserve">violation</w:t>
      </w:r>
      <w:r>
        <w:t xml:space="preserve"> </w:t>
      </w:r>
      <w:r>
        <w:t xml:space="preserve">rate</w:t>
      </w:r>
      <w:r>
        <w:t xml:space="preserve"> </w:t>
      </w:r>
      <w:r>
        <w:t xml:space="preserve">on</w:t>
      </w:r>
      <w:r>
        <w:t xml:space="preserve"> </w:t>
      </w:r>
      <w:r>
        <w:t xml:space="preserve">D-peptides</w:t>
      </w:r>
      <w:r>
        <w:t xml:space="preserve"> </w:t>
      </w:r>
      <w:r>
        <w:t xml:space="preserve">,</w:t>
      </w:r>
      <w:r>
        <w:t xml:space="preserve"> </w:t>
      </w:r>
      <w:r>
        <w:t xml:space="preserve">and</w:t>
      </w:r>
      <w:r>
        <w:t xml:space="preserve"> </w:t>
      </w:r>
      <w:r>
        <w:t xml:space="preserve">a</w:t>
      </w:r>
      <w:r>
        <w:t xml:space="preserve"> </w:t>
      </w:r>
      <w:r>
        <w:t xml:space="preserve">mirror-image</w:t>
      </w:r>
      <w:r>
        <w:t xml:space="preserve"> </w:t>
      </w:r>
      <w:r>
        <w:t xml:space="preserve">binder</w:t>
      </w:r>
      <w:r>
        <w:t xml:space="preserve"> </w:t>
      </w:r>
      <w:r>
        <w:t xml:space="preserve">design</w:t>
      </w:r>
      <w:r>
        <w:t xml:space="preserve"> </w:t>
      </w:r>
      <w:r>
        <w:t xml:space="preserve">workflow</w:t>
      </w:r>
      <w:r>
        <w:t xml:space="preserve"> </w:t>
      </w:r>
      <w:r>
        <w:t xml:space="preserve">validated</w:t>
      </w:r>
      <w:r>
        <w:t xml:space="preserve"> </w:t>
      </w:r>
      <w:r>
        <w:t xml:space="preserve">on</w:t>
      </w:r>
      <w:r>
        <w:t xml:space="preserve"> </w:t>
      </w:r>
      <w:r>
        <w:t xml:space="preserve">the</w:t>
      </w:r>
      <w:r>
        <w:t xml:space="preserve"> </w:t>
      </w:r>
      <w:r>
        <w:t xml:space="preserve">MDM2:dPMI-</w:t>
      </w:r>
      <m:oMath>
        <m:r>
          <m:t>γ</m:t>
        </m:r>
      </m:oMath>
      <w:r>
        <w:t xml:space="preserve"> </w:t>
      </w:r>
      <w:r>
        <w:t xml:space="preserve">system</w:t>
      </w:r>
      <w:r>
        <w:t xml:space="preserve"> </w:t>
      </w:r>
      <w:r>
        <w:t xml:space="preserve">(</w:t>
      </w:r>
      <m:oMath>
        <m:sSub>
          <m:e>
            <m:r>
              <m:t>K</m:t>
            </m:r>
          </m:e>
          <m:sub>
            <m:r>
              <m:t>d</m:t>
            </m:r>
          </m:sub>
        </m:sSub>
        <m:r>
          <m:rPr>
            <m:sty m:val="p"/>
          </m:rPr>
          <m:t>=</m:t>
        </m:r>
        <m:r>
          <m:t>53</m:t>
        </m:r>
      </m:oMath>
      <w:r>
        <w:t xml:space="preserve"> nM).</w:t>
      </w:r>
      <w:r>
        <w:t xml:space="preserve"> </w:t>
      </w:r>
      <w:r>
        <w:t xml:space="preserve">ChiralFold</w:t>
      </w:r>
      <w:r>
        <w:t xml:space="preserve"> </w:t>
      </w:r>
      <w:r>
        <w:t xml:space="preserve">is</w:t>
      </w:r>
      <w:r>
        <w:t xml:space="preserve"> </w:t>
      </w:r>
      <w:r>
        <w:t xml:space="preserve">available</w:t>
      </w:r>
      <w:r>
        <w:t xml:space="preserve"> </w:t>
      </w:r>
      <w:r>
        <w:t xml:space="preserve">as</w:t>
      </w:r>
      <w:r>
        <w:t xml:space="preserve"> </w:t>
      </w:r>
      <w:r>
        <w:t xml:space="preserve">a</w:t>
      </w:r>
      <w:r>
        <w:t xml:space="preserve"> </w:t>
      </w:r>
      <w:r>
        <w:t xml:space="preserve">pip-installable</w:t>
      </w:r>
      <w:r>
        <w:t xml:space="preserve"> </w:t>
      </w:r>
      <w:r>
        <w:t xml:space="preserve">Python</w:t>
      </w:r>
      <w:r>
        <w:t xml:space="preserve"> </w:t>
      </w:r>
      <w:r>
        <w:t xml:space="preserve">package</w:t>
      </w:r>
      <w:r>
        <w:t xml:space="preserve"> </w:t>
      </w:r>
      <w:r>
        <w:t xml:space="preserve">at</w:t>
      </w:r>
      <w:r>
        <w:t xml:space="preserve"> </w:t>
      </w:r>
      <w:hyperlink r:id="rId20">
        <w:r>
          <w:rPr>
            <w:rStyle w:val="Hyperlink"/>
          </w:rPr>
          <w:t xml:space="preserve">https://github.com/Tommaso-R-Marena/ChiralFold</w:t>
        </w:r>
      </w:hyperlink>
      <w:r>
        <w:t xml:space="preserve">.</w:t>
      </w:r>
    </w:p>
    <w:bookmarkStart w:id="21" w:name="introduction"/>
    <w:p>
      <w:pPr>
        <w:pStyle w:val="Heading1"/>
      </w:pPr>
      <w:r>
        <w:t xml:space="preserve">Introduction</w:t>
      </w:r>
    </w:p>
    <w:p>
      <w:pPr>
        <w:pStyle w:val="FirstParagraph"/>
      </w:pPr>
      <w:r>
        <w:t xml:space="preserve">D-amino acids play an increasingly important role in drug design due to their resistance to proteolysis and improved bioavailability. Mirror-image phage display has produced D-peptide therapeutics with nanomolar affinity, including dPMI-</w:t>
      </w:r>
      <m:oMath>
        <m:r>
          <m:t>γ</m:t>
        </m:r>
      </m:oMath>
      <w:r>
        <w:t xml:space="preserve"> </w:t>
      </w:r>
      <w:r>
        <w:t xml:space="preserve">(</w:t>
      </w:r>
      <m:oMath>
        <m:sSub>
          <m:e>
            <m:r>
              <m:t>K</m:t>
            </m:r>
          </m:e>
          <m:sub>
            <m:r>
              <m:t>d</m:t>
            </m:r>
          </m:sub>
        </m:sSub>
        <m:r>
          <m:rPr>
            <m:sty m:val="p"/>
          </m:rPr>
          <m:t>=</m:t>
        </m:r>
        <m:r>
          <m:t>53</m:t>
        </m:r>
      </m:oMath>
      <w:r>
        <w:t xml:space="preserve"> nM against MDM2). However, computational tools for D-peptide structure prediction and validation remain underdeveloped.</w:t>
      </w:r>
    </w:p>
    <w:p>
      <w:pPr>
        <w:pStyle w:val="BodyText"/>
      </w:pPr>
      <w:r>
        <w:t xml:space="preserve">AlphaFold 3, the current state of the art for protein structure prediction, produces a 51% per-residue chirality violation rate on D-peptides — equivalent to random assignment</w:t>
      </w:r>
      <w:r>
        <w:t xml:space="preserve"> </w:t>
      </w:r>
      <w:r>
        <w:t xml:space="preserve">. This fundamental limitation arises from AF3’s diffusion architecture, which denoises atom coordinates without enforcing hard stereochemical constraints.</w:t>
      </w:r>
    </w:p>
    <w:p>
      <w:pPr>
        <w:pStyle w:val="BodyText"/>
      </w:pPr>
      <w:r>
        <w:t xml:space="preserve">Existing validation tools also have a blind spot. MolProbity, the standard for PDB structure quality assessment, validates C</w:t>
      </w:r>
      <m:oMath>
        <m:sSub>
          <m:e>
            <m:r>
              <m:t>​</m:t>
            </m:r>
          </m:e>
          <m:sub>
            <m:r>
              <m:t>α</m:t>
            </m:r>
          </m:sub>
        </m:sSub>
      </m:oMath>
      <w:r>
        <w:t xml:space="preserve"> </w:t>
      </w:r>
      <w:r>
        <w:t xml:space="preserve">chirality for standard L-amino acids but does not specifically check D-amino acid stereochemistry. This creates an opportunity for systematic errors in deposited D-amino acid coordinates to persist undetected.</w:t>
      </w:r>
    </w:p>
    <w:p>
      <w:pPr>
        <w:pStyle w:val="BodyText"/>
      </w:pPr>
      <w:r>
        <w:t xml:space="preserve">We present ChiralFold, a pip-installable Python toolkit that addresses both gaps: it provides guaranteed chirality-correct D-peptide coordinate generation and a comprehensive PDB auditor that validates D-amino acid stereochemistry. Using ChiralFold, we conducted the first systematic verification of D-amino acid chirality across the PDB.</w:t>
      </w:r>
    </w:p>
    <w:bookmarkEnd w:id="21"/>
    <w:bookmarkStart w:id="26" w:name="methods"/>
    <w:p>
      <w:pPr>
        <w:pStyle w:val="Heading1"/>
      </w:pPr>
      <w:r>
        <w:t xml:space="preserve">Methods</w:t>
      </w:r>
    </w:p>
    <w:bookmarkStart w:id="22" w:name="signed-tetrahedron-volume"/>
    <w:p>
      <w:pPr>
        <w:pStyle w:val="Heading2"/>
      </w:pPr>
      <w:r>
        <w:t xml:space="preserve">Signed Tetrahedron Volume</w:t>
      </w:r>
    </w:p>
    <w:p>
      <w:pPr>
        <w:pStyle w:val="FirstParagraph"/>
      </w:pPr>
      <w:r>
        <w:t xml:space="preserve">Chirality at each C</w:t>
      </w:r>
      <m:oMath>
        <m:sSub>
          <m:e>
            <m:r>
              <m:t>​</m:t>
            </m:r>
          </m:e>
          <m:sub>
            <m:r>
              <m:t>α</m:t>
            </m:r>
          </m:sub>
        </m:sSub>
      </m:oMath>
      <w:r>
        <w:t xml:space="preserve"> </w:t>
      </w:r>
      <w:r>
        <w:t xml:space="preserve">is determined by the signed volume of the tetrahedron formed by the four substituents:</w:t>
      </w:r>
    </w:p>
    <w:p>
      <w:pPr>
        <w:pStyle w:val="BodyText"/>
      </w:pPr>
      <m:oMathPara>
        <m:oMathParaPr>
          <m:jc m:val="center"/>
        </m:oMathParaPr>
        <m:oMath>
          <m:r>
            <m:rPr>
              <m:nor/>
              <m:sty m:val="p"/>
            </m:rPr>
            <m:t>signed_volume</m:t>
          </m:r>
          <m:r>
            <m:rPr>
              <m:sty m:val="p"/>
            </m:rPr>
            <m:t>=</m:t>
          </m:r>
          <m:d>
            <m:dPr>
              <m:begChr m:val="("/>
              <m:endChr m:val=")"/>
              <m:sepChr m:val=""/>
              <m:grow/>
            </m:dPr>
            <m:e>
              <m:r>
                <m:rPr>
                  <m:sty m:val="b"/>
                </m:rPr>
                <m:t>N</m:t>
              </m:r>
              <m:r>
                <m:rPr>
                  <m:sty m:val="p"/>
                </m:rPr>
                <m:t>−</m:t>
              </m:r>
              <m:sSub>
                <m:e>
                  <m:r>
                    <m:rPr>
                      <m:sty m:val="b"/>
                    </m:rPr>
                    <m:t>C</m:t>
                  </m:r>
                </m:e>
                <m:sub>
                  <m:r>
                    <m:t>α</m:t>
                  </m:r>
                </m:sub>
              </m:sSub>
            </m:e>
          </m:d>
          <m:r>
            <m:rPr>
              <m:sty m:val="p"/>
            </m:rPr>
            <m:t>⋅</m:t>
          </m:r>
          <m:d>
            <m:dPr>
              <m:begChr m:val="["/>
              <m:endChr m:val="]"/>
              <m:sepChr m:val=""/>
              <m:grow/>
            </m:dPr>
            <m:e>
              <m:d>
                <m:dPr>
                  <m:begChr m:val="("/>
                  <m:endChr m:val=")"/>
                  <m:sepChr m:val=""/>
                  <m:grow/>
                </m:dPr>
                <m:e>
                  <m:r>
                    <m:rPr>
                      <m:sty m:val="b"/>
                    </m:rPr>
                    <m:t>C</m:t>
                  </m:r>
                  <m:r>
                    <m:rPr>
                      <m:sty m:val="p"/>
                    </m:rPr>
                    <m:t>−</m:t>
                  </m:r>
                  <m:sSub>
                    <m:e>
                      <m:r>
                        <m:rPr>
                          <m:sty m:val="b"/>
                        </m:rPr>
                        <m:t>C</m:t>
                      </m:r>
                    </m:e>
                    <m:sub>
                      <m:r>
                        <m:t>α</m:t>
                      </m:r>
                    </m:sub>
                  </m:sSub>
                </m:e>
              </m:d>
              <m:r>
                <m:rPr>
                  <m:sty m:val="p"/>
                </m:rPr>
                <m:t>×</m:t>
              </m:r>
              <m:d>
                <m:dPr>
                  <m:begChr m:val="("/>
                  <m:endChr m:val=")"/>
                  <m:sepChr m:val=""/>
                  <m:grow/>
                </m:dPr>
                <m:e>
                  <m:sSub>
                    <m:e>
                      <m:r>
                        <m:rPr>
                          <m:sty m:val="b"/>
                        </m:rPr>
                        <m:t>C</m:t>
                      </m:r>
                    </m:e>
                    <m:sub>
                      <m:r>
                        <m:t>β</m:t>
                      </m:r>
                    </m:sub>
                  </m:sSub>
                  <m:r>
                    <m:rPr>
                      <m:sty m:val="p"/>
                    </m:rPr>
                    <m:t>−</m:t>
                  </m:r>
                  <m:sSub>
                    <m:e>
                      <m:r>
                        <m:rPr>
                          <m:sty m:val="b"/>
                        </m:rPr>
                        <m:t>C</m:t>
                      </m:r>
                    </m:e>
                    <m:sub>
                      <m:r>
                        <m:t>α</m:t>
                      </m:r>
                    </m:sub>
                  </m:sSub>
                </m:e>
              </m:d>
            </m:e>
          </m:d>
        </m:oMath>
      </m:oMathPara>
    </w:p>
    <w:p>
      <w:pPr>
        <w:pStyle w:val="FirstParagraph"/>
      </w:pPr>
      <w:r>
        <w:t xml:space="preserve">For L-amino acids (S-configuration), this volume is negative by CIP convention. For D-amino acids (R-configuration), it should also be negative when the residue is correctly built. A positive signed volume at a D-labeled residue indicates that the deposited coordinates have L-stereochemistry — a chirality error.</w:t>
      </w:r>
    </w:p>
    <w:p>
      <w:pPr>
        <w:pStyle w:val="BodyText"/>
      </w:pPr>
      <w:r>
        <w:t xml:space="preserve">This method requires only the four backbone atom positions (N, C</w:t>
      </w:r>
      <m:oMath>
        <m:sSub>
          <m:e>
            <m:r>
              <m:t>​</m:t>
            </m:r>
          </m:e>
          <m:sub>
            <m:r>
              <m:t>α</m:t>
            </m:r>
          </m:sub>
        </m:sSub>
      </m:oMath>
      <w:r>
        <w:t xml:space="preserve">, C, C</w:t>
      </w:r>
      <m:oMath>
        <m:sSub>
          <m:e>
            <m:r>
              <m:t>​</m:t>
            </m:r>
          </m:e>
          <m:sub>
            <m:r>
              <m:t>β</m:t>
            </m:r>
          </m:sub>
        </m:sSub>
      </m:oMath>
      <w:r>
        <w:t xml:space="preserve">) and uses no force field or external dependencies beyond numpy.</w:t>
      </w:r>
    </w:p>
    <w:bookmarkEnd w:id="22"/>
    <w:bookmarkStart w:id="23" w:name="independent-verification-protocol"/>
    <w:p>
      <w:pPr>
        <w:pStyle w:val="Heading2"/>
      </w:pPr>
      <w:r>
        <w:t xml:space="preserve">Independent Verification Protocol</w:t>
      </w:r>
    </w:p>
    <w:p>
      <w:pPr>
        <w:pStyle w:val="FirstParagraph"/>
      </w:pPr>
      <w:r>
        <w:t xml:space="preserve">To ensure our findings are not artifacts of ChiralFold’s implementation, the D-residue verification was performed independently: the script uses only numpy for the cross product and dot product, parses PDB files with standard string operations, and imports no ChiralFold code. The verification script and full dataset are available in the repository.</w:t>
      </w:r>
    </w:p>
    <w:bookmarkEnd w:id="23"/>
    <w:bookmarkStart w:id="24" w:name="pdb-auditor"/>
    <w:p>
      <w:pPr>
        <w:pStyle w:val="Heading2"/>
      </w:pPr>
      <w:r>
        <w:t xml:space="preserve">PDB Auditor</w:t>
      </w:r>
    </w:p>
    <w:p>
      <w:pPr>
        <w:pStyle w:val="FirstParagraph"/>
      </w:pPr>
      <w:r>
        <w:t xml:space="preserve">ChiralFold’s auditor validates six quality criteria: C</w:t>
      </w:r>
      <m:oMath>
        <m:sSub>
          <m:e>
            <m:r>
              <m:t>​</m:t>
            </m:r>
          </m:e>
          <m:sub>
            <m:r>
              <m:t>α</m:t>
            </m:r>
          </m:sub>
        </m:sSub>
      </m:oMath>
      <w:r>
        <w:t xml:space="preserve"> </w:t>
      </w:r>
      <w:r>
        <w:t xml:space="preserve">chirality (signed volume), bond geometry (RMSD to Engh &amp; Huber ideal values), Ramachandran backbone dihedrals (hybrid empirical PDB grid + calibrated rectangular regions), peptide bond planarity (</w:t>
      </w:r>
      <m:oMath>
        <m:r>
          <m:t>ω</m:t>
        </m:r>
      </m:oMath>
      <w:r>
        <w:t xml:space="preserve"> </w:t>
      </w:r>
      <w:r>
        <w:t xml:space="preserve">deviation from 180), steric clashes (van der Waals overlap with backbone hydrogen placement), and a weighted composite score (0–100).</w:t>
      </w:r>
    </w:p>
    <w:bookmarkEnd w:id="24"/>
    <w:bookmarkStart w:id="25" w:name="mirror-image-pipeline"/>
    <w:p>
      <w:pPr>
        <w:pStyle w:val="Heading2"/>
      </w:pPr>
      <w:r>
        <w:t xml:space="preserve">Mirror-Image Pipeline</w:t>
      </w:r>
    </w:p>
    <w:p>
      <w:pPr>
        <w:pStyle w:val="FirstParagraph"/>
      </w:pPr>
      <w:r>
        <w:t xml:space="preserve">The L</w:t>
      </w:r>
      <m:oMath>
        <m:r>
          <m:rPr>
            <m:sty m:val="p"/>
          </m:rPr>
          <m:t>↔</m:t>
        </m:r>
      </m:oMath>
      <w:r>
        <w:t xml:space="preserve">D transformation reflects all atomic coordinates across a plane:</w:t>
      </w:r>
      <w:r>
        <w:t xml:space="preserve"> </w:t>
      </w:r>
      <m:oMath>
        <m:d>
          <m:dPr>
            <m:begChr m:val="("/>
            <m:endChr m:val=")"/>
            <m:sepChr m:val=""/>
            <m:grow/>
          </m:dPr>
          <m:e>
            <m:r>
              <m:t>x</m:t>
            </m:r>
            <m:r>
              <m:rPr>
                <m:sty m:val="p"/>
              </m:rPr>
              <m:t>,</m:t>
            </m:r>
            <m:r>
              <m:t>y</m:t>
            </m:r>
            <m:r>
              <m:rPr>
                <m:sty m:val="p"/>
              </m:rPr>
              <m:t>,</m:t>
            </m:r>
            <m:r>
              <m:t>z</m:t>
            </m:r>
          </m:e>
        </m:d>
        <m:r>
          <m:rPr>
            <m:sty m:val="p"/>
          </m:rPr>
          <m:t>→</m:t>
        </m:r>
        <m:d>
          <m:dPr>
            <m:begChr m:val="("/>
            <m:endChr m:val=")"/>
            <m:sepChr m:val=""/>
            <m:grow/>
          </m:dPr>
          <m:e>
            <m:r>
              <m:rPr>
                <m:sty m:val="p"/>
              </m:rPr>
              <m:t>−</m:t>
            </m:r>
            <m:r>
              <m:t>x</m:t>
            </m:r>
            <m:r>
              <m:rPr>
                <m:sty m:val="p"/>
              </m:rPr>
              <m:t>,</m:t>
            </m:r>
            <m:r>
              <m:t>y</m:t>
            </m:r>
            <m:r>
              <m:rPr>
                <m:sty m:val="p"/>
              </m:rPr>
              <m:t>,</m:t>
            </m:r>
            <m:r>
              <m:t>z</m:t>
            </m:r>
          </m:e>
        </m:d>
      </m:oMath>
      <w:r>
        <w:t xml:space="preserve">. This inverts all stereocenters (</w:t>
      </w:r>
      <m:oMath>
        <m:r>
          <m:rPr>
            <m:sty m:val="p"/>
          </m:rPr>
          <m:t>det</m:t>
        </m:r>
        <m:d>
          <m:dPr>
            <m:begChr m:val="("/>
            <m:endChr m:val=")"/>
            <m:sepChr m:val=""/>
            <m:grow/>
          </m:dPr>
          <m:e>
            <m:r>
              <m:rPr>
                <m:sty m:val="b"/>
              </m:rPr>
              <m:t>R</m:t>
            </m:r>
          </m:e>
        </m:d>
        <m:r>
          <m:rPr>
            <m:sty m:val="p"/>
          </m:rPr>
          <m:t>=</m:t>
        </m:r>
        <m:r>
          <m:rPr>
            <m:sty m:val="p"/>
          </m:rPr>
          <m:t>−</m:t>
        </m:r>
        <m:r>
          <m:t>1</m:t>
        </m:r>
      </m:oMath>
      <w:r>
        <w:t xml:space="preserve">), preserving bond lengths, bond angles, and torsion magnitudes exactly. Residue names are mapped to their D-amino acid equivalents (ALA</w:t>
      </w:r>
      <m:oMath>
        <m:r>
          <m:rPr>
            <m:sty m:val="p"/>
          </m:rPr>
          <m:t>→</m:t>
        </m:r>
      </m:oMath>
      <w:r>
        <w:t xml:space="preserve">DAL, TRP</w:t>
      </w:r>
      <m:oMath>
        <m:r>
          <m:rPr>
            <m:sty m:val="p"/>
          </m:rPr>
          <m:t>→</m:t>
        </m:r>
      </m:oMath>
      <w:r>
        <w:t xml:space="preserve">DTR, etc.).</w:t>
      </w:r>
    </w:p>
    <w:bookmarkEnd w:id="25"/>
    <w:bookmarkEnd w:id="26"/>
    <w:bookmarkStart w:id="34" w:name="results"/>
    <w:p>
      <w:pPr>
        <w:pStyle w:val="Heading1"/>
      </w:pPr>
      <w:r>
        <w:t xml:space="preserve">Results</w:t>
      </w:r>
    </w:p>
    <w:bookmarkStart w:id="28" w:name="d-amino-acid-chirality-errors-in-the-pdb"/>
    <w:p>
      <w:pPr>
        <w:pStyle w:val="Heading2"/>
      </w:pPr>
      <w:r>
        <w:t xml:space="preserve">D-Amino Acid Chirality Errors in the PDB</w:t>
      </w:r>
    </w:p>
    <w:p>
      <w:pPr>
        <w:pStyle w:val="FirstParagraph"/>
      </w:pPr>
      <w:r>
        <w:t xml:space="preserve">We verified 1,677 D-amino acid residues with complete backbone atoms (N, C</w:t>
      </w:r>
      <m:oMath>
        <m:sSub>
          <m:e>
            <m:r>
              <m:t>​</m:t>
            </m:r>
          </m:e>
          <m:sub>
            <m:r>
              <m:t>α</m:t>
            </m:r>
          </m:sub>
        </m:sSub>
      </m:oMath>
      <w:r>
        <w:t xml:space="preserve">, C, C</w:t>
      </w:r>
      <m:oMath>
        <m:sSub>
          <m:e>
            <m:r>
              <m:t>​</m:t>
            </m:r>
          </m:e>
          <m:sub>
            <m:r>
              <m:t>β</m:t>
            </m:r>
          </m:sub>
        </m:sSub>
      </m:oMath>
      <w:r>
        <w:t xml:space="preserve">) across 231 PDB files. Of these, 1,656 (98.7%) showed correct D-chirality (negative signed volume) and 21 (1.3%) showed L-chirality (positive signed volume) despite being labeled as D-amino acids.</w:t>
      </w:r>
    </w:p>
    <w:p>
      <w:pPr>
        <w:pStyle w:val="BodyText"/>
      </w:pPr>
      <w:r>
        <w:t xml:space="preserve">The 21 errors occur in 12 PDB structures:</w:t>
      </w:r>
    </w:p>
    <w:bookmarkStart w:id="27" w:name="tab:errors"/>
    <w:p>
      <w:pPr>
        <w:pStyle w:val="TableCaption"/>
      </w:pPr>
      <w:r>
        <w:t xml:space="preserve">The 12 PDB structures containing D-amino acid chirality errors. Signed volume is in Å</w:t>
      </w:r>
      <m:oMath>
        <m:sSup>
          <m:e>
            <m:r>
              <m:t>​</m:t>
            </m:r>
          </m:e>
          <m:sup>
            <m:r>
              <m:t>3</m:t>
            </m:r>
          </m:sup>
        </m:sSup>
      </m:oMath>
      <w:r>
        <w:t xml:space="preserve">; positive values indicate L-stereochemistry at the C</w:t>
      </w:r>
      <m:oMath>
        <m:sSub>
          <m:e>
            <m:r>
              <m:t>​</m:t>
            </m:r>
          </m:e>
          <m:sub>
            <m:r>
              <m:t>α</m:t>
            </m:r>
          </m:sub>
        </m:sSub>
      </m:oMath>
      <w:r>
        <w:t xml:space="preserve">.</w:t>
      </w:r>
    </w:p>
    <w:tbl>
      <w:tblPr>
        <w:tblStyle w:val="Table"/>
        <w:tblW w:type="auto" w:w="0"/>
        <w:jc w:val="left"/>
        <w:tblLook w:firstRow="1" w:lastRow="0" w:firstColumn="0" w:lastColumn="0" w:noHBand="0" w:noVBand="0" w:val="0020"/>
        <w:tblCaption w:val="The 12 PDB structures containing D-amino acid chirality errors. Signed volume is in Å^3; positive values indicate L-stereochemistry at the C_\alpha."/>
      </w:tblPr>
      <w:tblGrid>
        <w:gridCol w:w="990"/>
        <w:gridCol w:w="990"/>
        <w:gridCol w:w="990"/>
        <w:gridCol w:w="990"/>
        <w:gridCol w:w="990"/>
        <w:gridCol w:w="990"/>
        <w:gridCol w:w="990"/>
        <w:gridCol w:w="990"/>
      </w:tblGrid>
      <w:tr>
        <w:trPr>
          <w:tblHeader w:val="on"/>
        </w:trPr>
        <w:tc>
          <w:tcPr/>
          <w:p>
            <w:pPr>
              <w:pStyle w:val="Compact"/>
              <w:jc w:val="left"/>
            </w:pPr>
            <w:r>
              <w:t xml:space="preserve">PDB ID</w:t>
            </w:r>
          </w:p>
        </w:tc>
        <w:tc>
          <w:tcPr/>
          <w:p>
            <w:pPr>
              <w:pStyle w:val="Compact"/>
              <w:jc w:val="left"/>
            </w:pPr>
            <w:r>
              <w:t xml:space="preserve">Residue</w:t>
            </w:r>
          </w:p>
        </w:tc>
        <w:tc>
          <w:tcPr/>
          <w:p>
            <w:pPr>
              <w:pStyle w:val="Compact"/>
              <w:jc w:val="left"/>
            </w:pPr>
            <w:r>
              <w:t xml:space="preserve">Chain</w:t>
            </w:r>
          </w:p>
        </w:tc>
        <w:tc>
          <w:tcPr/>
          <w:p>
            <w:pPr>
              <w:pStyle w:val="Compact"/>
              <w:jc w:val="left"/>
            </w:pPr>
            <w:r>
              <w:t xml:space="preserve">Position</w:t>
            </w:r>
          </w:p>
        </w:tc>
        <w:tc>
          <w:tcPr/>
          <w:p>
            <w:pPr>
              <w:pStyle w:val="Compact"/>
              <w:jc w:val="left"/>
            </w:pPr>
            <w:r>
              <w:t xml:space="preserve">Signed Vol. </w:t>
            </w:r>
          </w:p>
        </w:tc>
        <w:tc>
          <w:tcPr/>
          <w:p>
            <w:pPr>
              <w:pStyle w:val="Compact"/>
              <w:jc w:val="left"/>
            </w:pPr>
            <w:r>
              <w:t xml:space="preserve">Resolution</w:t>
            </w:r>
          </w:p>
        </w:tc>
        <w:tc>
          <w:tcPr/>
          <w:p>
            <w:pPr>
              <w:pStyle w:val="Compact"/>
              <w:jc w:val="left"/>
            </w:pPr>
            <w:r>
              <w:t xml:space="preserve">Dep. Date</w:t>
            </w:r>
          </w:p>
        </w:tc>
        <w:tc>
          <w:tcPr/>
          <w:p>
            <w:pPr>
              <w:pStyle w:val="Compact"/>
              <w:jc w:val="left"/>
            </w:pPr>
            <w:r>
              <w:t xml:space="preserve">Errors</w:t>
            </w:r>
          </w:p>
        </w:tc>
      </w:tr>
      <w:tr>
        <w:tc>
          <w:tcPr/>
          <w:p>
            <w:pPr>
              <w:pStyle w:val="Compact"/>
              <w:jc w:val="left"/>
            </w:pPr>
            <w:r>
              <w:t xml:space="preserve">1ABI</w:t>
            </w:r>
          </w:p>
        </w:tc>
        <w:tc>
          <w:tcPr/>
          <w:p>
            <w:pPr>
              <w:pStyle w:val="Compact"/>
              <w:jc w:val="left"/>
            </w:pPr>
            <w:r>
              <w:t xml:space="preserve">DPN</w:t>
            </w:r>
          </w:p>
        </w:tc>
        <w:tc>
          <w:tcPr/>
          <w:p>
            <w:pPr>
              <w:pStyle w:val="Compact"/>
              <w:jc w:val="left"/>
            </w:pPr>
            <w:r>
              <w:t xml:space="preserve">I</w:t>
            </w:r>
          </w:p>
        </w:tc>
        <w:tc>
          <w:tcPr/>
          <w:p>
            <w:pPr>
              <w:pStyle w:val="Compact"/>
              <w:jc w:val="left"/>
            </w:pPr>
            <w:r>
              <w:t xml:space="preserve">56</w:t>
            </w:r>
          </w:p>
        </w:tc>
        <w:tc>
          <w:tcPr/>
          <w:p>
            <w:pPr>
              <w:pStyle w:val="Compact"/>
              <w:jc w:val="left"/>
            </w:pPr>
            <m:oMath>
              <m:r>
                <m:rPr>
                  <m:sty m:val="p"/>
                </m:rPr>
                <m:t>+</m:t>
              </m:r>
              <m:r>
                <m:t>2.49</m:t>
              </m:r>
            </m:oMath>
          </w:p>
        </w:tc>
        <w:tc>
          <w:tcPr/>
          <w:p>
            <w:pPr>
              <w:pStyle w:val="Compact"/>
              <w:jc w:val="left"/>
            </w:pPr>
            <w:r>
              <w:t xml:space="preserve">2.30 Å</w:t>
            </w:r>
          </w:p>
        </w:tc>
        <w:tc>
          <w:tcPr/>
          <w:p>
            <w:pPr>
              <w:pStyle w:val="Compact"/>
              <w:jc w:val="left"/>
            </w:pPr>
            <w:r>
              <w:t xml:space="preserve">1992</w:t>
            </w:r>
          </w:p>
        </w:tc>
        <w:tc>
          <w:tcPr/>
          <w:p>
            <w:pPr>
              <w:pStyle w:val="Compact"/>
              <w:jc w:val="left"/>
            </w:pPr>
            <w:r>
              <w:t xml:space="preserve">1</w:t>
            </w:r>
          </w:p>
        </w:tc>
      </w:tr>
      <w:tr>
        <w:tc>
          <w:tcPr/>
          <w:p>
            <w:pPr>
              <w:pStyle w:val="Compact"/>
              <w:jc w:val="left"/>
            </w:pPr>
            <w:r>
              <w:t xml:space="preserve">1BG0</w:t>
            </w:r>
          </w:p>
        </w:tc>
        <w:tc>
          <w:tcPr/>
          <w:p>
            <w:pPr>
              <w:pStyle w:val="Compact"/>
              <w:jc w:val="left"/>
            </w:pPr>
            <w:r>
              <w:t xml:space="preserve">DAR</w:t>
            </w:r>
          </w:p>
        </w:tc>
        <w:tc>
          <w:tcPr/>
          <w:p>
            <w:pPr>
              <w:pStyle w:val="Compact"/>
              <w:jc w:val="left"/>
            </w:pPr>
            <w:r>
              <w:t xml:space="preserve">A</w:t>
            </w:r>
          </w:p>
        </w:tc>
        <w:tc>
          <w:tcPr/>
          <w:p>
            <w:pPr>
              <w:pStyle w:val="Compact"/>
              <w:jc w:val="left"/>
            </w:pPr>
            <w:r>
              <w:t xml:space="preserve">403</w:t>
            </w:r>
          </w:p>
        </w:tc>
        <w:tc>
          <w:tcPr/>
          <w:p>
            <w:pPr>
              <w:pStyle w:val="Compact"/>
              <w:jc w:val="left"/>
            </w:pPr>
            <m:oMath>
              <m:r>
                <m:rPr>
                  <m:sty m:val="p"/>
                </m:rPr>
                <m:t>+</m:t>
              </m:r>
              <m:r>
                <m:t>2.58</m:t>
              </m:r>
            </m:oMath>
          </w:p>
        </w:tc>
        <w:tc>
          <w:tcPr/>
          <w:p>
            <w:pPr>
              <w:pStyle w:val="Compact"/>
              <w:jc w:val="left"/>
            </w:pPr>
            <w:r>
              <w:t xml:space="preserve">1.86 Å</w:t>
            </w:r>
          </w:p>
        </w:tc>
        <w:tc>
          <w:tcPr/>
          <w:p>
            <w:pPr>
              <w:pStyle w:val="Compact"/>
              <w:jc w:val="left"/>
            </w:pPr>
            <w:r>
              <w:t xml:space="preserve">1998</w:t>
            </w:r>
          </w:p>
        </w:tc>
        <w:tc>
          <w:tcPr/>
          <w:p>
            <w:pPr>
              <w:pStyle w:val="Compact"/>
              <w:jc w:val="left"/>
            </w:pPr>
            <w:r>
              <w:t xml:space="preserve">1</w:t>
            </w:r>
          </w:p>
        </w:tc>
      </w:tr>
      <w:tr>
        <w:tc>
          <w:tcPr/>
          <w:p>
            <w:pPr>
              <w:pStyle w:val="Compact"/>
              <w:jc w:val="left"/>
            </w:pPr>
            <w:r>
              <w:t xml:space="preserve">1D7T</w:t>
            </w:r>
          </w:p>
        </w:tc>
        <w:tc>
          <w:tcPr/>
          <w:p>
            <w:pPr>
              <w:pStyle w:val="Compact"/>
              <w:jc w:val="left"/>
            </w:pPr>
            <w:r>
              <w:t xml:space="preserve">DTY</w:t>
            </w:r>
          </w:p>
        </w:tc>
        <w:tc>
          <w:tcPr/>
          <w:p>
            <w:pPr>
              <w:pStyle w:val="Compact"/>
              <w:jc w:val="left"/>
            </w:pPr>
            <w:r>
              <w:t xml:space="preserve">A</w:t>
            </w:r>
          </w:p>
        </w:tc>
        <w:tc>
          <w:tcPr/>
          <w:p>
            <w:pPr>
              <w:pStyle w:val="Compact"/>
              <w:jc w:val="left"/>
            </w:pPr>
            <w:r>
              <w:t xml:space="preserve">4</w:t>
            </w:r>
          </w:p>
        </w:tc>
        <w:tc>
          <w:tcPr/>
          <w:p>
            <w:pPr>
              <w:pStyle w:val="Compact"/>
              <w:jc w:val="left"/>
            </w:pPr>
            <m:oMath>
              <m:r>
                <m:rPr>
                  <m:sty m:val="p"/>
                </m:rPr>
                <m:t>+</m:t>
              </m:r>
              <m:r>
                <m:t>1.85</m:t>
              </m:r>
            </m:oMath>
          </w:p>
        </w:tc>
        <w:tc>
          <w:tcPr/>
          <w:p>
            <w:pPr>
              <w:pStyle w:val="Compact"/>
              <w:jc w:val="left"/>
            </w:pPr>
            <w:r>
              <w:t xml:space="preserve">NMR</w:t>
            </w:r>
          </w:p>
        </w:tc>
        <w:tc>
          <w:tcPr/>
          <w:p>
            <w:pPr>
              <w:pStyle w:val="Compact"/>
              <w:jc w:val="left"/>
            </w:pPr>
            <w:r>
              <w:t xml:space="preserve">1999</w:t>
            </w:r>
          </w:p>
        </w:tc>
        <w:tc>
          <w:tcPr/>
          <w:p>
            <w:pPr>
              <w:pStyle w:val="Compact"/>
              <w:jc w:val="left"/>
            </w:pPr>
            <w:r>
              <w:t xml:space="preserve">1</w:t>
            </w:r>
          </w:p>
        </w:tc>
      </w:tr>
      <w:tr>
        <w:tc>
          <w:tcPr/>
          <w:p>
            <w:pPr>
              <w:pStyle w:val="Compact"/>
              <w:jc w:val="left"/>
            </w:pPr>
            <w:r>
              <w:t xml:space="preserve">1HHZ</w:t>
            </w:r>
          </w:p>
        </w:tc>
        <w:tc>
          <w:tcPr/>
          <w:p>
            <w:pPr>
              <w:pStyle w:val="Compact"/>
              <w:jc w:val="left"/>
            </w:pPr>
            <w:r>
              <w:t xml:space="preserve">DAL</w:t>
            </w:r>
          </w:p>
        </w:tc>
        <w:tc>
          <w:tcPr/>
          <w:p>
            <w:pPr>
              <w:pStyle w:val="Compact"/>
              <w:jc w:val="left"/>
            </w:pPr>
            <w:r>
              <w:t xml:space="preserve">E</w:t>
            </w:r>
          </w:p>
        </w:tc>
        <w:tc>
          <w:tcPr/>
          <w:p>
            <w:pPr>
              <w:pStyle w:val="Compact"/>
              <w:jc w:val="left"/>
            </w:pPr>
            <w:r>
              <w:t xml:space="preserve">1</w:t>
            </w:r>
          </w:p>
        </w:tc>
        <w:tc>
          <w:tcPr/>
          <w:p>
            <w:pPr>
              <w:pStyle w:val="Compact"/>
              <w:jc w:val="left"/>
            </w:pPr>
            <m:oMath>
              <m:r>
                <m:rPr>
                  <m:sty m:val="p"/>
                </m:rPr>
                <m:t>+</m:t>
              </m:r>
              <m:r>
                <m:t>2.70</m:t>
              </m:r>
            </m:oMath>
          </w:p>
        </w:tc>
        <w:tc>
          <w:tcPr/>
          <w:p>
            <w:pPr>
              <w:pStyle w:val="Compact"/>
              <w:jc w:val="left"/>
            </w:pPr>
            <w:r>
              <w:t xml:space="preserve">0.99 Å</w:t>
            </w:r>
          </w:p>
        </w:tc>
        <w:tc>
          <w:tcPr/>
          <w:p>
            <w:pPr>
              <w:pStyle w:val="Compact"/>
              <w:jc w:val="left"/>
            </w:pPr>
            <w:r>
              <w:t xml:space="preserve">2000</w:t>
            </w:r>
          </w:p>
        </w:tc>
        <w:tc>
          <w:tcPr/>
          <w:p>
            <w:pPr>
              <w:pStyle w:val="Compact"/>
              <w:jc w:val="left"/>
            </w:pPr>
            <w:r>
              <w:t xml:space="preserve">1</w:t>
            </w:r>
          </w:p>
        </w:tc>
      </w:tr>
      <w:tr>
        <w:tc>
          <w:tcPr/>
          <w:p>
            <w:pPr>
              <w:pStyle w:val="Compact"/>
              <w:jc w:val="left"/>
            </w:pPr>
            <w:r>
              <w:t xml:space="preserve">1KO0</w:t>
            </w:r>
            <m:oMath>
              <m:sSup>
                <m:e>
                  <m:r>
                    <m:t>​</m:t>
                  </m:r>
                </m:e>
                <m:sup>
                  <m:r>
                    <m:rPr>
                      <m:sty m:val="p"/>
                    </m:rPr>
                    <m:t>†</m:t>
                  </m:r>
                </m:sup>
              </m:sSup>
            </m:oMath>
          </w:p>
        </w:tc>
        <w:tc>
          <w:tcPr/>
          <w:p>
            <w:pPr>
              <w:pStyle w:val="Compact"/>
              <w:jc w:val="left"/>
            </w:pPr>
            <w:r>
              <w:t xml:space="preserve">DLY</w:t>
            </w:r>
          </w:p>
        </w:tc>
        <w:tc>
          <w:tcPr/>
          <w:p>
            <w:pPr>
              <w:pStyle w:val="Compact"/>
              <w:jc w:val="left"/>
            </w:pPr>
            <w:r>
              <w:t xml:space="preserve">A</w:t>
            </w:r>
          </w:p>
        </w:tc>
        <w:tc>
          <w:tcPr/>
          <w:p>
            <w:pPr>
              <w:pStyle w:val="Compact"/>
              <w:jc w:val="left"/>
            </w:pPr>
            <w:r>
              <w:t xml:space="preserve">542</w:t>
            </w:r>
          </w:p>
        </w:tc>
        <w:tc>
          <w:tcPr/>
          <w:p>
            <w:pPr>
              <w:pStyle w:val="Compact"/>
              <w:jc w:val="left"/>
            </w:pPr>
            <m:oMath>
              <m:r>
                <m:rPr>
                  <m:sty m:val="p"/>
                </m:rPr>
                <m:t>+</m:t>
              </m:r>
              <m:r>
                <m:t>0.12</m:t>
              </m:r>
            </m:oMath>
          </w:p>
        </w:tc>
        <w:tc>
          <w:tcPr/>
          <w:p>
            <w:pPr>
              <w:pStyle w:val="Compact"/>
              <w:jc w:val="left"/>
            </w:pPr>
            <w:r>
              <w:t xml:space="preserve">2.20 Å</w:t>
            </w:r>
          </w:p>
        </w:tc>
        <w:tc>
          <w:tcPr/>
          <w:p>
            <w:pPr>
              <w:pStyle w:val="Compact"/>
              <w:jc w:val="left"/>
            </w:pPr>
            <w:r>
              <w:t xml:space="preserve">2001</w:t>
            </w:r>
          </w:p>
        </w:tc>
        <w:tc>
          <w:tcPr/>
          <w:p>
            <w:pPr>
              <w:pStyle w:val="Compact"/>
              <w:jc w:val="left"/>
            </w:pPr>
            <w:r>
              <w:t xml:space="preserve">1</w:t>
            </w:r>
          </w:p>
        </w:tc>
      </w:tr>
      <w:tr>
        <w:tc>
          <w:tcPr/>
          <w:p>
            <w:pPr>
              <w:pStyle w:val="Compact"/>
              <w:jc w:val="left"/>
            </w:pPr>
            <w:r>
              <w:t xml:space="preserve">1MCB</w:t>
            </w:r>
          </w:p>
        </w:tc>
        <w:tc>
          <w:tcPr/>
          <w:p>
            <w:pPr>
              <w:pStyle w:val="Compact"/>
              <w:jc w:val="left"/>
            </w:pPr>
            <w:r>
              <w:t xml:space="preserve">DHI</w:t>
            </w:r>
          </w:p>
        </w:tc>
        <w:tc>
          <w:tcPr/>
          <w:p>
            <w:pPr>
              <w:pStyle w:val="Compact"/>
              <w:jc w:val="left"/>
            </w:pPr>
            <w:r>
              <w:t xml:space="preserve">P</w:t>
            </w:r>
          </w:p>
        </w:tc>
        <w:tc>
          <w:tcPr/>
          <w:p>
            <w:pPr>
              <w:pStyle w:val="Compact"/>
              <w:jc w:val="left"/>
            </w:pPr>
            <w:r>
              <w:t xml:space="preserve">3</w:t>
            </w:r>
          </w:p>
        </w:tc>
        <w:tc>
          <w:tcPr/>
          <w:p>
            <w:pPr>
              <w:pStyle w:val="Compact"/>
              <w:jc w:val="left"/>
            </w:pPr>
            <m:oMath>
              <m:r>
                <m:rPr>
                  <m:sty m:val="p"/>
                </m:rPr>
                <m:t>+</m:t>
              </m:r>
              <m:r>
                <m:t>2.60</m:t>
              </m:r>
            </m:oMath>
          </w:p>
        </w:tc>
        <w:tc>
          <w:tcPr/>
          <w:p>
            <w:pPr>
              <w:pStyle w:val="Compact"/>
              <w:jc w:val="left"/>
            </w:pPr>
            <w:r>
              <w:t xml:space="preserve">2.70 Å</w:t>
            </w:r>
          </w:p>
        </w:tc>
        <w:tc>
          <w:tcPr/>
          <w:p>
            <w:pPr>
              <w:pStyle w:val="Compact"/>
              <w:jc w:val="left"/>
            </w:pPr>
            <w:r>
              <w:t xml:space="preserve">1993</w:t>
            </w:r>
          </w:p>
        </w:tc>
        <w:tc>
          <w:tcPr/>
          <w:p>
            <w:pPr>
              <w:pStyle w:val="Compact"/>
              <w:jc w:val="left"/>
            </w:pPr>
            <w:r>
              <w:t xml:space="preserve">1</w:t>
            </w:r>
          </w:p>
        </w:tc>
      </w:tr>
      <w:tr>
        <w:tc>
          <w:tcPr/>
          <w:p>
            <w:pPr>
              <w:pStyle w:val="Compact"/>
              <w:jc w:val="left"/>
            </w:pPr>
            <w:r>
              <w:t xml:space="preserve">1OF6</w:t>
            </w:r>
          </w:p>
        </w:tc>
        <w:tc>
          <w:tcPr/>
          <w:p>
            <w:pPr>
              <w:pStyle w:val="Compact"/>
              <w:jc w:val="left"/>
            </w:pPr>
            <w:r>
              <w:t xml:space="preserve">DTY</w:t>
            </w:r>
          </w:p>
        </w:tc>
        <w:tc>
          <w:tcPr/>
          <w:p>
            <w:pPr>
              <w:pStyle w:val="Compact"/>
              <w:jc w:val="left"/>
            </w:pPr>
            <w:r>
              <w:t xml:space="preserve">A–H</w:t>
            </w:r>
          </w:p>
        </w:tc>
        <w:tc>
          <w:tcPr/>
          <w:p>
            <w:pPr>
              <w:pStyle w:val="Compact"/>
              <w:jc w:val="left"/>
            </w:pPr>
            <w:r>
              <w:t xml:space="preserve">1369–1370</w:t>
            </w:r>
          </w:p>
        </w:tc>
        <w:tc>
          <w:tcPr/>
          <w:p>
            <w:pPr>
              <w:pStyle w:val="Compact"/>
              <w:jc w:val="left"/>
            </w:pPr>
            <m:oMath>
              <m:r>
                <m:rPr>
                  <m:sty m:val="p"/>
                </m:rPr>
                <m:t>+</m:t>
              </m:r>
              <m:r>
                <m:t>2.51</m:t>
              </m:r>
            </m:oMath>
            <w:r>
              <w:t xml:space="preserve"> </w:t>
            </w:r>
            <w:r>
              <w:t xml:space="preserve">to</w:t>
            </w:r>
            <w:r>
              <w:t xml:space="preserve"> </w:t>
            </w:r>
            <m:oMath>
              <m:r>
                <m:rPr>
                  <m:sty m:val="p"/>
                </m:rPr>
                <m:t>+</m:t>
              </m:r>
              <m:r>
                <m:t>2.67</m:t>
              </m:r>
            </m:oMath>
          </w:p>
        </w:tc>
        <w:tc>
          <w:tcPr/>
          <w:p>
            <w:pPr>
              <w:pStyle w:val="Compact"/>
              <w:jc w:val="left"/>
            </w:pPr>
            <w:r>
              <w:t xml:space="preserve">2.10 Å</w:t>
            </w:r>
          </w:p>
        </w:tc>
        <w:tc>
          <w:tcPr/>
          <w:p>
            <w:pPr>
              <w:pStyle w:val="Compact"/>
              <w:jc w:val="left"/>
            </w:pPr>
            <w:r>
              <w:t xml:space="preserve">2003</w:t>
            </w:r>
          </w:p>
        </w:tc>
        <w:tc>
          <w:tcPr/>
          <w:p>
            <w:pPr>
              <w:pStyle w:val="Compact"/>
              <w:jc w:val="left"/>
            </w:pPr>
            <w:r>
              <w:t xml:space="preserve">8</w:t>
            </w:r>
          </w:p>
        </w:tc>
      </w:tr>
      <w:tr>
        <w:tc>
          <w:tcPr/>
          <w:p>
            <w:pPr>
              <w:pStyle w:val="Compact"/>
              <w:jc w:val="left"/>
            </w:pPr>
            <w:r>
              <w:t xml:space="preserve">1P52</w:t>
            </w:r>
          </w:p>
        </w:tc>
        <w:tc>
          <w:tcPr/>
          <w:p>
            <w:pPr>
              <w:pStyle w:val="Compact"/>
              <w:jc w:val="left"/>
            </w:pPr>
            <w:r>
              <w:t xml:space="preserve">DAR</w:t>
            </w:r>
          </w:p>
        </w:tc>
        <w:tc>
          <w:tcPr/>
          <w:p>
            <w:pPr>
              <w:pStyle w:val="Compact"/>
              <w:jc w:val="left"/>
            </w:pPr>
            <w:r>
              <w:t xml:space="preserve">A</w:t>
            </w:r>
          </w:p>
        </w:tc>
        <w:tc>
          <w:tcPr/>
          <w:p>
            <w:pPr>
              <w:pStyle w:val="Compact"/>
              <w:jc w:val="left"/>
            </w:pPr>
            <w:r>
              <w:t xml:space="preserve">403</w:t>
            </w:r>
          </w:p>
        </w:tc>
        <w:tc>
          <w:tcPr/>
          <w:p>
            <w:pPr>
              <w:pStyle w:val="Compact"/>
              <w:jc w:val="left"/>
            </w:pPr>
            <m:oMath>
              <m:r>
                <m:rPr>
                  <m:sty m:val="p"/>
                </m:rPr>
                <m:t>+</m:t>
              </m:r>
              <m:r>
                <m:t>2.54</m:t>
              </m:r>
            </m:oMath>
          </w:p>
        </w:tc>
        <w:tc>
          <w:tcPr/>
          <w:p>
            <w:pPr>
              <w:pStyle w:val="Compact"/>
              <w:jc w:val="left"/>
            </w:pPr>
            <w:r>
              <w:t xml:space="preserve">1.90 Å</w:t>
            </w:r>
          </w:p>
        </w:tc>
        <w:tc>
          <w:tcPr/>
          <w:p>
            <w:pPr>
              <w:pStyle w:val="Compact"/>
              <w:jc w:val="left"/>
            </w:pPr>
            <w:r>
              <w:t xml:space="preserve">2003</w:t>
            </w:r>
          </w:p>
        </w:tc>
        <w:tc>
          <w:tcPr/>
          <w:p>
            <w:pPr>
              <w:pStyle w:val="Compact"/>
              <w:jc w:val="left"/>
            </w:pPr>
            <w:r>
              <w:t xml:space="preserve">1</w:t>
            </w:r>
          </w:p>
        </w:tc>
      </w:tr>
      <w:tr>
        <w:tc>
          <w:tcPr/>
          <w:p>
            <w:pPr>
              <w:pStyle w:val="Compact"/>
              <w:jc w:val="left"/>
            </w:pPr>
            <w:r>
              <w:t xml:space="preserve">1UHG</w:t>
            </w:r>
          </w:p>
        </w:tc>
        <w:tc>
          <w:tcPr/>
          <w:p>
            <w:pPr>
              <w:pStyle w:val="Compact"/>
              <w:jc w:val="left"/>
            </w:pPr>
            <w:r>
              <w:t xml:space="preserve">DSN</w:t>
            </w:r>
          </w:p>
        </w:tc>
        <w:tc>
          <w:tcPr/>
          <w:p>
            <w:pPr>
              <w:pStyle w:val="Compact"/>
              <w:jc w:val="left"/>
            </w:pPr>
            <w:r>
              <w:t xml:space="preserve">D</w:t>
            </w:r>
          </w:p>
        </w:tc>
        <w:tc>
          <w:tcPr/>
          <w:p>
            <w:pPr>
              <w:pStyle w:val="Compact"/>
              <w:jc w:val="left"/>
            </w:pPr>
            <w:r>
              <w:t xml:space="preserve">164</w:t>
            </w:r>
          </w:p>
        </w:tc>
        <w:tc>
          <w:tcPr/>
          <w:p>
            <w:pPr>
              <w:pStyle w:val="Compact"/>
              <w:jc w:val="left"/>
            </w:pPr>
            <m:oMath>
              <m:r>
                <m:rPr>
                  <m:sty m:val="p"/>
                </m:rPr>
                <m:t>+</m:t>
              </m:r>
              <m:r>
                <m:t>2.21</m:t>
              </m:r>
            </m:oMath>
          </w:p>
        </w:tc>
        <w:tc>
          <w:tcPr/>
          <w:p>
            <w:pPr>
              <w:pStyle w:val="Compact"/>
              <w:jc w:val="left"/>
            </w:pPr>
            <w:r>
              <w:t xml:space="preserve">1.90 Å</w:t>
            </w:r>
          </w:p>
        </w:tc>
        <w:tc>
          <w:tcPr/>
          <w:p>
            <w:pPr>
              <w:pStyle w:val="Compact"/>
              <w:jc w:val="left"/>
            </w:pPr>
            <w:r>
              <w:t xml:space="preserve">2003</w:t>
            </w:r>
          </w:p>
        </w:tc>
        <w:tc>
          <w:tcPr/>
          <w:p>
            <w:pPr>
              <w:pStyle w:val="Compact"/>
              <w:jc w:val="left"/>
            </w:pPr>
            <w:r>
              <w:t xml:space="preserve">1</w:t>
            </w:r>
          </w:p>
        </w:tc>
      </w:tr>
      <w:tr>
        <w:tc>
          <w:tcPr/>
          <w:p>
            <w:pPr>
              <w:pStyle w:val="Compact"/>
              <w:jc w:val="left"/>
            </w:pPr>
            <w:r>
              <w:t xml:space="preserve">1XT7</w:t>
            </w:r>
          </w:p>
        </w:tc>
        <w:tc>
          <w:tcPr/>
          <w:p>
            <w:pPr>
              <w:pStyle w:val="Compact"/>
              <w:jc w:val="left"/>
            </w:pPr>
            <w:r>
              <w:t xml:space="preserve">DSG</w:t>
            </w:r>
          </w:p>
        </w:tc>
        <w:tc>
          <w:tcPr/>
          <w:p>
            <w:pPr>
              <w:pStyle w:val="Compact"/>
              <w:jc w:val="left"/>
            </w:pPr>
            <w:r>
              <w:t xml:space="preserve">A</w:t>
            </w:r>
          </w:p>
        </w:tc>
        <w:tc>
          <w:tcPr/>
          <w:p>
            <w:pPr>
              <w:pStyle w:val="Compact"/>
              <w:jc w:val="left"/>
            </w:pPr>
            <w:r>
              <w:t xml:space="preserve">3</w:t>
            </w:r>
          </w:p>
        </w:tc>
        <w:tc>
          <w:tcPr/>
          <w:p>
            <w:pPr>
              <w:pStyle w:val="Compact"/>
              <w:jc w:val="left"/>
            </w:pPr>
            <m:oMath>
              <m:r>
                <m:rPr>
                  <m:sty m:val="p"/>
                </m:rPr>
                <m:t>+</m:t>
              </m:r>
              <m:r>
                <m:t>2.55</m:t>
              </m:r>
            </m:oMath>
          </w:p>
        </w:tc>
        <w:tc>
          <w:tcPr/>
          <w:p>
            <w:pPr>
              <w:pStyle w:val="Compact"/>
              <w:jc w:val="left"/>
            </w:pPr>
            <w:r>
              <w:t xml:space="preserve">NMR</w:t>
            </w:r>
          </w:p>
        </w:tc>
        <w:tc>
          <w:tcPr/>
          <w:p>
            <w:pPr>
              <w:pStyle w:val="Compact"/>
              <w:jc w:val="left"/>
            </w:pPr>
            <w:r>
              <w:t xml:space="preserve">2004</w:t>
            </w:r>
          </w:p>
        </w:tc>
        <w:tc>
          <w:tcPr/>
          <w:p>
            <w:pPr>
              <w:pStyle w:val="Compact"/>
              <w:jc w:val="left"/>
            </w:pPr>
            <w:r>
              <w:t xml:space="preserve">1</w:t>
            </w:r>
          </w:p>
        </w:tc>
      </w:tr>
      <w:tr>
        <w:tc>
          <w:tcPr/>
          <w:p>
            <w:pPr>
              <w:pStyle w:val="Compact"/>
              <w:jc w:val="left"/>
            </w:pPr>
            <w:r>
              <w:t xml:space="preserve">2AOU</w:t>
            </w:r>
          </w:p>
        </w:tc>
        <w:tc>
          <w:tcPr/>
          <w:p>
            <w:pPr>
              <w:pStyle w:val="Compact"/>
              <w:jc w:val="left"/>
            </w:pPr>
            <w:r>
              <w:t xml:space="preserve">DCY</w:t>
            </w:r>
          </w:p>
        </w:tc>
        <w:tc>
          <w:tcPr/>
          <w:p>
            <w:pPr>
              <w:pStyle w:val="Compact"/>
              <w:jc w:val="left"/>
            </w:pPr>
            <w:r>
              <w:t xml:space="preserve">A</w:t>
            </w:r>
          </w:p>
        </w:tc>
        <w:tc>
          <w:tcPr/>
          <w:p>
            <w:pPr>
              <w:pStyle w:val="Compact"/>
              <w:jc w:val="left"/>
            </w:pPr>
            <w:r>
              <w:t xml:space="preserve">248</w:t>
            </w:r>
          </w:p>
        </w:tc>
        <w:tc>
          <w:tcPr/>
          <w:p>
            <w:pPr>
              <w:pStyle w:val="Compact"/>
              <w:jc w:val="left"/>
            </w:pPr>
            <m:oMath>
              <m:r>
                <m:rPr>
                  <m:sty m:val="p"/>
                </m:rPr>
                <m:t>+</m:t>
              </m:r>
              <m:r>
                <m:t>2.67</m:t>
              </m:r>
            </m:oMath>
          </w:p>
        </w:tc>
        <w:tc>
          <w:tcPr/>
          <w:p>
            <w:pPr>
              <w:pStyle w:val="Compact"/>
              <w:jc w:val="left"/>
            </w:pPr>
            <w:r>
              <w:t xml:space="preserve">2.30 Å</w:t>
            </w:r>
          </w:p>
        </w:tc>
        <w:tc>
          <w:tcPr/>
          <w:p>
            <w:pPr>
              <w:pStyle w:val="Compact"/>
              <w:jc w:val="left"/>
            </w:pPr>
            <w:r>
              <w:t xml:space="preserve">2005</w:t>
            </w:r>
          </w:p>
        </w:tc>
        <w:tc>
          <w:tcPr/>
          <w:p>
            <w:pPr>
              <w:pStyle w:val="Compact"/>
              <w:jc w:val="left"/>
            </w:pPr>
            <w:r>
              <w:t xml:space="preserve">1</w:t>
            </w:r>
          </w:p>
        </w:tc>
      </w:tr>
      <w:tr>
        <w:tc>
          <w:tcPr/>
          <w:p>
            <w:pPr>
              <w:pStyle w:val="Compact"/>
              <w:jc w:val="left"/>
            </w:pPr>
            <w:r>
              <w:t xml:space="preserve">2ATS</w:t>
            </w:r>
          </w:p>
        </w:tc>
        <w:tc>
          <w:tcPr/>
          <w:p>
            <w:pPr>
              <w:pStyle w:val="Compact"/>
              <w:jc w:val="left"/>
            </w:pPr>
            <w:r>
              <w:t xml:space="preserve">DLY</w:t>
            </w:r>
          </w:p>
        </w:tc>
        <w:tc>
          <w:tcPr/>
          <w:p>
            <w:pPr>
              <w:pStyle w:val="Compact"/>
              <w:jc w:val="left"/>
            </w:pPr>
            <w:r>
              <w:t xml:space="preserve">A</w:t>
            </w:r>
          </w:p>
        </w:tc>
        <w:tc>
          <w:tcPr/>
          <w:p>
            <w:pPr>
              <w:pStyle w:val="Compact"/>
              <w:jc w:val="left"/>
            </w:pPr>
            <w:r>
              <w:t xml:space="preserve">3001–3003</w:t>
            </w:r>
          </w:p>
        </w:tc>
        <w:tc>
          <w:tcPr/>
          <w:p>
            <w:pPr>
              <w:pStyle w:val="Compact"/>
              <w:jc w:val="left"/>
            </w:pPr>
            <m:oMath>
              <m:r>
                <m:rPr>
                  <m:sty m:val="p"/>
                </m:rPr>
                <m:t>+</m:t>
              </m:r>
              <m:r>
                <m:t>2.56</m:t>
              </m:r>
            </m:oMath>
            <w:r>
              <w:t xml:space="preserve"> </w:t>
            </w:r>
            <w:r>
              <w:t xml:space="preserve">to</w:t>
            </w:r>
            <w:r>
              <w:t xml:space="preserve"> </w:t>
            </w:r>
            <m:oMath>
              <m:r>
                <m:rPr>
                  <m:sty m:val="p"/>
                </m:rPr>
                <m:t>+</m:t>
              </m:r>
              <m:r>
                <m:t>2.59</m:t>
              </m:r>
            </m:oMath>
          </w:p>
        </w:tc>
        <w:tc>
          <w:tcPr/>
          <w:p>
            <w:pPr>
              <w:pStyle w:val="Compact"/>
              <w:jc w:val="left"/>
            </w:pPr>
            <w:r>
              <w:t xml:space="preserve">1.90 Å</w:t>
            </w:r>
          </w:p>
        </w:tc>
        <w:tc>
          <w:tcPr/>
          <w:p>
            <w:pPr>
              <w:pStyle w:val="Compact"/>
              <w:jc w:val="left"/>
            </w:pPr>
            <w:r>
              <w:t xml:space="preserve">2005</w:t>
            </w:r>
          </w:p>
        </w:tc>
        <w:tc>
          <w:tcPr/>
          <w:p>
            <w:pPr>
              <w:pStyle w:val="Compact"/>
              <w:jc w:val="left"/>
            </w:pPr>
            <w:r>
              <w:t xml:space="preserve">3</w:t>
            </w:r>
          </w:p>
        </w:tc>
      </w:tr>
    </w:tbl>
    <w:bookmarkEnd w:id="27"/>
    <w:p>
      <w:pPr>
        <w:pStyle w:val="BodyText"/>
      </w:pPr>
      <m:oMath>
        <m:sSup>
          <m:e>
            <m:r>
              <m:t>​</m:t>
            </m:r>
          </m:e>
          <m:sup>
            <m:r>
              <m:rPr>
                <m:sty m:val="p"/>
              </m:rPr>
              <m:t>†</m:t>
            </m:r>
          </m:sup>
        </m:sSup>
      </m:oMath>
      <w:r>
        <w:t xml:space="preserve">Borderline: near-zero signed volume (</w:t>
      </w:r>
      <m:oMath>
        <m:r>
          <m:rPr>
            <m:sty m:val="p"/>
          </m:rPr>
          <m:t>+</m:t>
        </m:r>
        <m:r>
          <m:t>0.12</m:t>
        </m:r>
      </m:oMath>
      <w:r>
        <w:t xml:space="preserve">), alternate conformer B,</w:t>
      </w:r>
      <w:r>
        <w:t xml:space="preserve"> </w:t>
      </w:r>
      <m:oMath>
        <m:r>
          <m:t>B</m:t>
        </m:r>
      </m:oMath>
      <w:r>
        <w:t xml:space="preserve">-factor 32.3 Å</w:t>
      </w:r>
      <m:oMath>
        <m:sSup>
          <m:e>
            <m:r>
              <m:t>​</m:t>
            </m:r>
          </m:e>
          <m:sup>
            <m:r>
              <m:t>2</m:t>
            </m:r>
          </m:sup>
        </m:sSup>
      </m:oMath>
      <w:r>
        <w:t xml:space="preserve">. Classified as inconclusive.</w:t>
      </w:r>
    </w:p>
    <w:bookmarkEnd w:id="28"/>
    <w:bookmarkStart w:id="29" w:name="robustness-verification"/>
    <w:p>
      <w:pPr>
        <w:pStyle w:val="Heading2"/>
      </w:pPr>
      <w:r>
        <w:t xml:space="preserve">Robustness Verification</w:t>
      </w:r>
    </w:p>
    <w:p>
      <w:pPr>
        <w:pStyle w:val="FirstParagraph"/>
      </w:pPr>
      <w:r>
        <w:t xml:space="preserve">To ensure the findings are not artifacts of sign convention or implementation, we performed five independent checks. First, we computed signed tetrahedron volumes for all 24 D-amino acid residues in 3IWY (experimentally confirmed D-stereochemistry); every correctly built D-residue produced a negative signed volume, confirming the convention. Second, we examined the borderline case 1KO0 DLY:542 (signed volume</w:t>
      </w:r>
      <w:r>
        <w:t xml:space="preserve"> </w:t>
      </w:r>
      <m:oMath>
        <m:r>
          <m:rPr>
            <m:sty m:val="p"/>
          </m:rPr>
          <m:t>+</m:t>
        </m:r>
        <m:r>
          <m:t>0.12</m:t>
        </m:r>
      </m:oMath>
      <w:r>
        <w:t xml:space="preserve">), finding that its near-zero magnitude, alternate conformer B, and moderate</w:t>
      </w:r>
      <w:r>
        <w:t xml:space="preserve"> </w:t>
      </w:r>
      <m:oMath>
        <m:r>
          <m:t>B</m:t>
        </m:r>
      </m:oMath>
      <w:r>
        <w:t xml:space="preserve">-factor (32.3 Å</w:t>
      </w:r>
      <m:oMath>
        <m:sSup>
          <m:e>
            <m:r>
              <m:t>​</m:t>
            </m:r>
          </m:e>
          <m:sup>
            <m:r>
              <m:t>2</m:t>
            </m:r>
          </m:sup>
        </m:sSup>
      </m:oMath>
      <w:r>
        <w:t xml:space="preserve">) warrant classification as inconclusive rather than a confident error. Third, we verified the 1OF6 systematic error across all 8 chains, confirming that all DTY residues use standard atom naming (N, C</w:t>
      </w:r>
      <m:oMath>
        <m:sSub>
          <m:e>
            <m:r>
              <m:t>​</m:t>
            </m:r>
          </m:e>
          <m:sub>
            <m:r>
              <m:t>α</m:t>
            </m:r>
          </m:sub>
        </m:sSub>
      </m:oMath>
      <w:r>
        <w:t xml:space="preserve">, C, C</w:t>
      </w:r>
      <m:oMath>
        <m:sSub>
          <m:e>
            <m:r>
              <m:t>​</m:t>
            </m:r>
          </m:e>
          <m:sub>
            <m:r>
              <m:t>β</m:t>
            </m:r>
          </m:sub>
        </m:sSub>
      </m:oMath>
      <w:r>
        <w:t xml:space="preserve">) and all produce positive signed volumes (</w:t>
      </w:r>
      <m:oMath>
        <m:r>
          <m:rPr>
            <m:sty m:val="p"/>
          </m:rPr>
          <m:t>+</m:t>
        </m:r>
        <m:r>
          <m:t>2.51</m:t>
        </m:r>
      </m:oMath>
      <w:r>
        <w:t xml:space="preserve"> </w:t>
      </w:r>
      <w:r>
        <w:t xml:space="preserve">to</w:t>
      </w:r>
      <w:r>
        <w:t xml:space="preserve"> </w:t>
      </w:r>
      <m:oMath>
        <m:r>
          <m:rPr>
            <m:sty m:val="p"/>
          </m:rPr>
          <m:t>+</m:t>
        </m:r>
        <m:r>
          <m:t>2.67</m:t>
        </m:r>
      </m:oMath>
      <w:r>
        <w:t xml:space="preserve">), with no correctly built D-residues elsewhere in the structure to serve as internal controls. Fourth, we reconfirmed the 1ABI internal control: two DPN residues in the same structure with opposite signed volumes (position 1:</w:t>
      </w:r>
      <w:r>
        <w:t xml:space="preserve"> </w:t>
      </w:r>
      <m:oMath>
        <m:r>
          <m:rPr>
            <m:sty m:val="p"/>
          </m:rPr>
          <m:t>−</m:t>
        </m:r>
        <m:r>
          <m:t>2.60</m:t>
        </m:r>
      </m:oMath>
      <w:r>
        <w:t xml:space="preserve">, D-correct; position 56:</w:t>
      </w:r>
      <w:r>
        <w:t xml:space="preserve"> </w:t>
      </w:r>
      <m:oMath>
        <m:r>
          <m:rPr>
            <m:sty m:val="p"/>
          </m:rPr>
          <m:t>+</m:t>
        </m:r>
        <m:r>
          <m:t>2.49</m:t>
        </m:r>
      </m:oMath>
      <w:r>
        <w:t xml:space="preserve">, L-error), identical atom naming, and no alternate conformations, providing a clean within-structure discrimination test. Based on these checks, we classify 11 of 12 error-containing structures as confirmed, with 1KO0 flagged as borderline. The revised count is</w:t>
      </w:r>
      <w:r>
        <w:t xml:space="preserve"> </w:t>
      </w:r>
      <w:r>
        <w:rPr>
          <w:b/>
          <w:bCs/>
        </w:rPr>
        <w:t xml:space="preserve">20 confirmed errors in 11 structures, plus 1 borderline case</w:t>
      </w:r>
      <w:r>
        <w:t xml:space="preserve">.</w:t>
      </w:r>
    </w:p>
    <w:bookmarkEnd w:id="29"/>
    <w:bookmarkStart w:id="30" w:name="X19ea3c6b0906c67926dbeae9479c65aeb463834"/>
    <w:p>
      <w:pPr>
        <w:pStyle w:val="Heading2"/>
      </w:pPr>
      <w:r>
        <w:t xml:space="preserve">Errors Correlate with Pre-Remediation Deposition</w:t>
      </w:r>
    </w:p>
    <w:p>
      <w:pPr>
        <w:pStyle w:val="FirstParagraph"/>
      </w:pPr>
      <w:r>
        <w:t xml:space="preserve">All 12 error-containing structures were deposited between 1992 and 2005. Zero errors were found in structures deposited after 2005. Deposition year significantly predicts the presence of errors (Mann–Whitney</w:t>
      </w:r>
      <w:r>
        <w:t xml:space="preserve"> </w:t>
      </w:r>
      <m:oMath>
        <m:r>
          <m:t>U</m:t>
        </m:r>
        <m:r>
          <m:rPr>
            <m:sty m:val="p"/>
          </m:rPr>
          <m:t>=</m:t>
        </m:r>
        <m:r>
          <m:t>278</m:t>
        </m:r>
      </m:oMath>
      <w:r>
        <w:t xml:space="preserve">,</w:t>
      </w:r>
      <w:r>
        <w:t xml:space="preserve"> </w:t>
      </w:r>
      <m:oMath>
        <m:r>
          <m:t>p</m:t>
        </m:r>
        <m:r>
          <m:rPr>
            <m:sty m:val="p"/>
          </m:rPr>
          <m:t>=</m:t>
        </m:r>
        <m:r>
          <m:t>0.0027</m:t>
        </m:r>
      </m:oMath>
      <w:r>
        <w:t xml:space="preserve">). This temporal pattern is consistent with the 2006–2008 wwPDB remediation effort, which systematically corrected stereochemistry assignments across the archive but did not specifically address D-amino acid residue labeling.</w:t>
      </w:r>
    </w:p>
    <w:p>
      <w:pPr>
        <w:pStyle w:val="BodyText"/>
      </w:pPr>
      <w:r>
        <w:t xml:space="preserve">Resolution does not predict errors (Mann–Whitney</w:t>
      </w:r>
      <w:r>
        <w:t xml:space="preserve"> </w:t>
      </w:r>
      <m:oMath>
        <m:r>
          <m:t>U</m:t>
        </m:r>
        <m:r>
          <m:rPr>
            <m:sty m:val="p"/>
          </m:rPr>
          <m:t>=</m:t>
        </m:r>
        <m:r>
          <m:t>112</m:t>
        </m:r>
      </m:oMath>
      <w:r>
        <w:t xml:space="preserve">,</w:t>
      </w:r>
      <w:r>
        <w:t xml:space="preserve"> </w:t>
      </w:r>
      <m:oMath>
        <m:r>
          <m:t>p</m:t>
        </m:r>
        <m:r>
          <m:rPr>
            <m:sty m:val="p"/>
          </m:rPr>
          <m:t>=</m:t>
        </m:r>
        <m:r>
          <m:t>0.19</m:t>
        </m:r>
      </m:oMath>
      <w:r>
        <w:t xml:space="preserve">). The highest-resolution error structure is 1HHZ at 0.99 Å — an ultra-high-resolution structure where the electron density is unambiguous but the residue was labeled as D-Alanine (DAL) while the C</w:t>
      </w:r>
      <m:oMath>
        <m:sSub>
          <m:e>
            <m:r>
              <m:t>​</m:t>
            </m:r>
          </m:e>
          <m:sub>
            <m:r>
              <m:t>α</m:t>
            </m:r>
          </m:sub>
        </m:sSub>
      </m:oMath>
      <w:r>
        <w:t xml:space="preserve"> </w:t>
      </w:r>
      <w:r>
        <w:t xml:space="preserve">coordinates show L-stereochemistry (signed volume</w:t>
      </w:r>
      <w:r>
        <w:t xml:space="preserve"> </w:t>
      </w:r>
      <m:oMath>
        <m:r>
          <m:rPr>
            <m:sty m:val="p"/>
          </m:rPr>
          <m:t>+</m:t>
        </m:r>
        <m:r>
          <m:t>2.70</m:t>
        </m:r>
      </m:oMath>
      <w:r>
        <w:t xml:space="preserve">). This confirms that the errors are labeling/convention problems, not data quality problems.</w:t>
      </w:r>
    </w:p>
    <w:bookmarkEnd w:id="30"/>
    <w:bookmarkStart w:id="31" w:name="molprobity-comparison"/>
    <w:p>
      <w:pPr>
        <w:pStyle w:val="Heading2"/>
      </w:pPr>
      <w:r>
        <w:t xml:space="preserve">MolProbity Comparison</w:t>
      </w:r>
    </w:p>
    <w:p>
      <w:pPr>
        <w:pStyle w:val="FirstParagraph"/>
      </w:pPr>
      <w:r>
        <w:t xml:space="preserve">ChiralFold’s auditor was benchmarked against wwPDB/MolProbity validation reports on 31 PDB structures spanning 0.48–3.4 Å resolution (X-ray, NMR, cryo-EM). Ramachandran outlier percentages showed significant agreement (Spearman</w:t>
      </w:r>
      <w:r>
        <w:t xml:space="preserve"> </w:t>
      </w:r>
      <m:oMath>
        <m:r>
          <m:t>ρ</m:t>
        </m:r>
        <m:r>
          <m:rPr>
            <m:sty m:val="p"/>
          </m:rPr>
          <m:t>=</m:t>
        </m:r>
        <m:r>
          <m:t>0.49</m:t>
        </m:r>
      </m:oMath>
      <w:r>
        <w:t xml:space="preserve">,</w:t>
      </w:r>
      <w:r>
        <w:t xml:space="preserve"> </w:t>
      </w:r>
      <m:oMath>
        <m:r>
          <m:t>p</m:t>
        </m:r>
        <m:r>
          <m:rPr>
            <m:sty m:val="p"/>
          </m:rPr>
          <m:t>=</m:t>
        </m:r>
        <m:r>
          <m:t>0.006</m:t>
        </m:r>
      </m:oMath>
      <w:r>
        <w:t xml:space="preserve">), with ChiralFold reporting 0.60% mean outliers vs wwPDB’s 0.64%.</w:t>
      </w:r>
    </w:p>
    <w:p>
      <w:pPr>
        <w:pStyle w:val="BodyText"/>
      </w:pPr>
      <w:r>
        <w:t xml:space="preserve">MolProbity is stronger in Ramachandran contour precision (data-derived from</w:t>
      </w:r>
      <w:r>
        <w:t xml:space="preserve"> </w:t>
      </w:r>
      <m:oMath>
        <m:r>
          <m:rPr>
            <m:sty m:val="p"/>
          </m:rPr>
          <m:t>∼</m:t>
        </m:r>
        <m:r>
          <m:t>100</m:t>
        </m:r>
      </m:oMath>
      <w:r>
        <w:t xml:space="preserve">K structures vs ChiralFold’s calibrated rectangles + empirical grid) and rotamer completeness. ChiralFold adds native D-amino acid chirality validation, which MolProbity does not provide.</w:t>
      </w:r>
    </w:p>
    <w:bookmarkEnd w:id="31"/>
    <w:bookmarkStart w:id="32" w:name="Xf3756802ff397d7f8fc463f167a89700beea2b7"/>
    <w:p>
      <w:pPr>
        <w:pStyle w:val="Heading2"/>
      </w:pPr>
      <w:r>
        <w:t xml:space="preserve">AlphaFold 3 Chirality on Real D-Peptide Sequences</w:t>
      </w:r>
    </w:p>
    <w:p>
      <w:pPr>
        <w:pStyle w:val="FirstParagraph"/>
      </w:pPr>
      <w:r>
        <w:t xml:space="preserve">Using the actual D-peptide sequences from</w:t>
      </w:r>
      <w:r>
        <w:t xml:space="preserve"> </w:t>
      </w:r>
      <w:r>
        <w:t xml:space="preserve"> </w:t>
      </w:r>
      <w:r>
        <w:t xml:space="preserve">— DEHELLETAARWFYEIAKR (PDB 7YH8, DP19), LWQHEATWK (PDB 5N8T, DP9), and DWWPLAFEALLR (PDB 3IWY, DP12) — ChiralFold produces 0/478 chirality violations across 41 sequence/pattern combinations. This 0% rate is guaranteed by construction: each residue is built with explicit [C@H]/[C@@H] SMILES stereochemistry. AF3’s 51% rate reflects its diffusion model treating D-residues as noise.</w:t>
      </w:r>
    </w:p>
    <w:bookmarkEnd w:id="32"/>
    <w:bookmarkStart w:id="33" w:name="mirror-image-binder-design"/>
    <w:p>
      <w:pPr>
        <w:pStyle w:val="Heading2"/>
      </w:pPr>
      <w:r>
        <w:t xml:space="preserve">Mirror-Image Binder Design</w:t>
      </w:r>
    </w:p>
    <w:p>
      <w:pPr>
        <w:pStyle w:val="FirstParagraph"/>
      </w:pPr>
      <w:r>
        <w:t xml:space="preserve">The p53:MDM2 crystal structure (PDB 1YCR) was mirrored to generate a D-peptide binder candidate. The binding triad (Phe19/Trp23/Leu26) is preserved as D-Phe/D-Trp/D-Leu — the same hotspot residues that the experimental dPMI-</w:t>
      </w:r>
      <m:oMath>
        <m:r>
          <m:t>γ</m:t>
        </m:r>
      </m:oMath>
      <w:r>
        <w:t xml:space="preserve"> </w:t>
      </w:r>
      <w:r>
        <w:t xml:space="preserve">(</w:t>
      </w:r>
      <m:oMath>
        <m:sSub>
          <m:e>
            <m:r>
              <m:t>K</m:t>
            </m:r>
          </m:e>
          <m:sub>
            <m:r>
              <m:t>d</m:t>
            </m:r>
          </m:sub>
        </m:sSub>
        <m:r>
          <m:rPr>
            <m:sty m:val="p"/>
          </m:rPr>
          <m:t>=</m:t>
        </m:r>
        <m:r>
          <m:t>53</m:t>
        </m:r>
      </m:oMath>
      <w:r>
        <w:t xml:space="preserve"> nM, PDB 3IWY) uses. All 13 backbone</w:t>
      </w:r>
      <w:r>
        <w:t xml:space="preserve"> </w:t>
      </w:r>
      <m:oMath>
        <m:r>
          <m:t>φ</m:t>
        </m:r>
      </m:oMath>
      <w:r>
        <w:t xml:space="preserve"> </w:t>
      </w:r>
      <w:r>
        <w:t xml:space="preserve">angles are exactly sign-inverted. Contact geometry is preserved by construction: 105 C</w:t>
      </w:r>
      <m:oMath>
        <m:sSub>
          <m:e>
            <m:r>
              <m:t>​</m:t>
            </m:r>
          </m:e>
          <m:sub>
            <m:r>
              <m:t>α</m:t>
            </m:r>
          </m:sub>
        </m:sSub>
      </m:oMath>
      <w:r>
        <w:t xml:space="preserve">–C</w:t>
      </w:r>
      <m:oMath>
        <m:sSub>
          <m:e>
            <m:r>
              <m:t>​</m:t>
            </m:r>
          </m:e>
          <m:sub>
            <m:r>
              <m:t>α</m:t>
            </m:r>
          </m:sub>
        </m:sSub>
      </m:oMath>
      <w:r>
        <w:t xml:space="preserve"> </w:t>
      </w:r>
      <w:r>
        <w:t xml:space="preserve">contacts and 10 H-bond donor–acceptor pairs maintained within 0.001 Å across the L</w:t>
      </w:r>
      <m:oMath>
        <m:r>
          <m:rPr>
            <m:sty m:val="p"/>
          </m:rPr>
          <m:t>→</m:t>
        </m:r>
      </m:oMath>
      <w:r>
        <w:t xml:space="preserve">D transformation.</w:t>
      </w:r>
    </w:p>
    <w:bookmarkEnd w:id="33"/>
    <w:bookmarkEnd w:id="34"/>
    <w:bookmarkStart w:id="35" w:name="discussion"/>
    <w:p>
      <w:pPr>
        <w:pStyle w:val="Heading1"/>
      </w:pPr>
      <w:r>
        <w:t xml:space="preserve">Discussion</w:t>
      </w:r>
    </w:p>
    <w:p>
      <w:pPr>
        <w:pStyle w:val="FirstParagraph"/>
      </w:pPr>
      <w:r>
        <w:t xml:space="preserve">The 1.3% error rate in deposited D-amino acid stereochemistry (20 confirmed errors plus 1 borderline case across 1,677 residues) is small but systematic. The temporal clustering before 2006 suggests these errors were introduced during an era when D-amino acid validation was not part of standard deposition pipelines. The wwPDB remediation addressed many stereochemistry issues but these D-residue errors persisted because no existing tool specifically validated D-amino acid C</w:t>
      </w:r>
      <m:oMath>
        <m:sSub>
          <m:e>
            <m:r>
              <m:t>​</m:t>
            </m:r>
          </m:e>
          <m:sub>
            <m:r>
              <m:t>α</m:t>
            </m:r>
          </m:sub>
        </m:sSub>
      </m:oMath>
      <w:r>
        <w:t xml:space="preserve"> </w:t>
      </w:r>
      <w:r>
        <w:t xml:space="preserve">chirality.</w:t>
      </w:r>
    </w:p>
    <w:p>
      <w:pPr>
        <w:pStyle w:val="BodyText"/>
      </w:pPr>
      <w:r>
        <w:t xml:space="preserve">The 1HHZ case is particularly illustrative: at 0.99 Å resolution, the electron density is unambiguous, yet the residue is mislabeled. This rules out resolution as a confound and points to a convention/software error during deposition.</w:t>
      </w:r>
    </w:p>
    <w:p>
      <w:pPr>
        <w:pStyle w:val="BodyText"/>
      </w:pPr>
      <w:r>
        <w:t xml:space="preserve">ChiralFold fills this validation gap as a lightweight, pip-installable Python tool. While it does not replace MolProbity for comprehensive structure validation, it provides the only available programmatic D-amino acid chirality check and a mirror-image coordinate generation pipeline relevant to the growing field of D-peptide drug design.</w:t>
      </w:r>
    </w:p>
    <w:bookmarkEnd w:id="35"/>
    <w:bookmarkStart w:id="43" w:name="data-availability"/>
    <w:p>
      <w:pPr>
        <w:pStyle w:val="Heading1"/>
      </w:pPr>
      <w:r>
        <w:t xml:space="preserve">Data Availability</w:t>
      </w:r>
    </w:p>
    <w:p>
      <w:pPr>
        <w:pStyle w:val="FirstParagraph"/>
      </w:pPr>
      <w:r>
        <w:t xml:space="preserve">The complete verification dataset (1,678 rows with raw N/C</w:t>
      </w:r>
      <m:oMath>
        <m:sSub>
          <m:e>
            <m:r>
              <m:t>​</m:t>
            </m:r>
          </m:e>
          <m:sub>
            <m:r>
              <m:t>α</m:t>
            </m:r>
          </m:sub>
        </m:sSub>
      </m:oMath>
      <w:r>
        <w:t xml:space="preserve">/C/C</w:t>
      </w:r>
      <m:oMath>
        <m:sSub>
          <m:e>
            <m:r>
              <m:t>​</m:t>
            </m:r>
          </m:e>
          <m:sub>
            <m:r>
              <m:t>β</m:t>
            </m:r>
          </m:sub>
        </m:sSub>
      </m:oMath>
      <w:r>
        <w:t xml:space="preserve"> </w:t>
      </w:r>
      <w:r>
        <w:t xml:space="preserve">coordinates for every D-amino acid residue) is available at:</w:t>
      </w:r>
      <w:r>
        <w:t xml:space="preserve"> </w:t>
      </w:r>
      <w:hyperlink r:id="rId36">
        <w:r>
          <w:rPr>
            <w:rStyle w:val="Hyperlink"/>
          </w:rPr>
          <w:t xml:space="preserve">https://github.com/Tommaso-R-Marena/ChiralFold/blob/master/results/d_residue_verification.csv</w:t>
        </w:r>
      </w:hyperlink>
    </w:p>
    <w:p>
      <w:pPr>
        <w:pStyle w:val="BodyText"/>
      </w:pPr>
      <w:r>
        <w:t xml:space="preserve">The independent verification script (no ChiralFold dependencies) is at:</w:t>
      </w:r>
      <w:r>
        <w:t xml:space="preserve"> </w:t>
      </w:r>
      <w:hyperlink r:id="rId37">
        <w:r>
          <w:rPr>
            <w:rStyle w:val="Hyperlink"/>
          </w:rPr>
          <w:t xml:space="preserve">https://github.com/Tommaso-R-Marena/ChiralFold/blob/master/benchmarks/independent_d_residue_verification.py</w:t>
        </w:r>
      </w:hyperlink>
    </w:p>
    <w:p>
      <w:pPr>
        <w:pStyle w:val="BodyText"/>
      </w:pPr>
      <w:r>
        <w:t xml:space="preserve">5</w:t>
      </w:r>
    </w:p>
    <w:p>
      <w:pPr>
        <w:pStyle w:val="BodyText"/>
      </w:pPr>
      <w:r>
        <w:t xml:space="preserve">Childs CM, Zhou P, Donald BR.</w:t>
      </w:r>
      <w:r>
        <w:t xml:space="preserve"> </w:t>
      </w:r>
      <w:r>
        <w:t xml:space="preserve">Has AlphaFold 3 Solved the Protein Folding Problem for D-Peptides?</w:t>
      </w:r>
      <w:r>
        <w:t xml:space="preserve"> </w:t>
      </w:r>
      <w:r>
        <w:rPr>
          <w:i/>
          <w:iCs/>
        </w:rPr>
        <w:t xml:space="preserve">bioRxiv</w:t>
      </w:r>
      <w:r>
        <w:t xml:space="preserve"> </w:t>
      </w:r>
      <w:r>
        <w:t xml:space="preserve">2025.03.14.643307 (2025).</w:t>
      </w:r>
      <w:r>
        <w:t xml:space="preserve"> </w:t>
      </w:r>
      <w:hyperlink r:id="rId38">
        <w:r>
          <w:rPr>
            <w:rStyle w:val="Hyperlink"/>
          </w:rPr>
          <w:t xml:space="preserve">doi:10.1101/2025.03.14.643307</w:t>
        </w:r>
      </w:hyperlink>
    </w:p>
    <w:p>
      <w:pPr>
        <w:pStyle w:val="BodyText"/>
      </w:pPr>
      <w:r>
        <w:t xml:space="preserve">Liu M et al.</w:t>
      </w:r>
      <w:r>
        <w:t xml:space="preserve"> </w:t>
      </w:r>
      <w:r>
        <w:t xml:space="preserve">D-peptide inhibitors of the p53–MDM2 interaction for targeted molecular therapy of malignant neoplasms.</w:t>
      </w:r>
      <w:r>
        <w:t xml:space="preserve"> </w:t>
      </w:r>
      <w:r>
        <w:rPr>
          <w:i/>
          <w:iCs/>
        </w:rPr>
        <w:t xml:space="preserve">Proc Natl Acad Sci</w:t>
      </w:r>
      <w:r>
        <w:t xml:space="preserve"> </w:t>
      </w:r>
      <w:r>
        <w:t xml:space="preserve">107:14321–14326 (2010).</w:t>
      </w:r>
      <w:r>
        <w:t xml:space="preserve"> </w:t>
      </w:r>
      <w:hyperlink r:id="rId39">
        <w:r>
          <w:rPr>
            <w:rStyle w:val="Hyperlink"/>
          </w:rPr>
          <w:t xml:space="preserve">doi:10.1073/pnas.1008930107</w:t>
        </w:r>
      </w:hyperlink>
    </w:p>
    <w:p>
      <w:pPr>
        <w:pStyle w:val="BodyText"/>
      </w:pPr>
      <w:r>
        <w:t xml:space="preserve">Chen VB et al.</w:t>
      </w:r>
      <w:r>
        <w:t xml:space="preserve"> </w:t>
      </w:r>
      <w:r>
        <w:t xml:space="preserve">MolProbity: all-atom structure validation for macromolecular crystallography.</w:t>
      </w:r>
      <w:r>
        <w:t xml:space="preserve"> </w:t>
      </w:r>
      <w:r>
        <w:rPr>
          <w:i/>
          <w:iCs/>
        </w:rPr>
        <w:t xml:space="preserve">Acta Cryst</w:t>
      </w:r>
      <w:r>
        <w:t xml:space="preserve"> </w:t>
      </w:r>
      <w:r>
        <w:t xml:space="preserve">D66:12–21 (2010).</w:t>
      </w:r>
      <w:r>
        <w:t xml:space="preserve"> </w:t>
      </w:r>
      <w:hyperlink r:id="rId40">
        <w:r>
          <w:rPr>
            <w:rStyle w:val="Hyperlink"/>
          </w:rPr>
          <w:t xml:space="preserve">doi:10.1107/S0907444909042073</w:t>
        </w:r>
      </w:hyperlink>
    </w:p>
    <w:p>
      <w:pPr>
        <w:pStyle w:val="BodyText"/>
      </w:pPr>
      <w:r>
        <w:t xml:space="preserve">Lovell SC et al.</w:t>
      </w:r>
      <w:r>
        <w:t xml:space="preserve"> </w:t>
      </w:r>
      <w:r>
        <w:t xml:space="preserve">Structure validation by C</w:t>
      </w:r>
      <m:oMath>
        <m:sSub>
          <m:e>
            <m:r>
              <m:t>​</m:t>
            </m:r>
          </m:e>
          <m:sub>
            <m:r>
              <m:t>α</m:t>
            </m:r>
          </m:sub>
        </m:sSub>
      </m:oMath>
      <w:r>
        <w:t xml:space="preserve"> </w:t>
      </w:r>
      <w:r>
        <w:t xml:space="preserve">geometry:</w:t>
      </w:r>
      <w:r>
        <w:t xml:space="preserve"> </w:t>
      </w:r>
      <m:oMath>
        <m:r>
          <m:t>φ</m:t>
        </m:r>
      </m:oMath>
      <w:r>
        <w:t xml:space="preserve">,</w:t>
      </w:r>
      <m:oMath>
        <m:r>
          <m:t>ψ</m:t>
        </m:r>
      </m:oMath>
      <w:r>
        <w:t xml:space="preserve"> </w:t>
      </w:r>
      <w:r>
        <w:t xml:space="preserve">and C</w:t>
      </w:r>
      <m:oMath>
        <m:sSub>
          <m:e>
            <m:r>
              <m:t>​</m:t>
            </m:r>
          </m:e>
          <m:sub>
            <m:r>
              <m:t>β</m:t>
            </m:r>
          </m:sub>
        </m:sSub>
      </m:oMath>
      <w:r>
        <w:t xml:space="preserve"> </w:t>
      </w:r>
      <w:r>
        <w:t xml:space="preserve">deviation.</w:t>
      </w:r>
      <w:r>
        <w:t xml:space="preserve"> </w:t>
      </w:r>
      <w:r>
        <w:rPr>
          <w:i/>
          <w:iCs/>
        </w:rPr>
        <w:t xml:space="preserve">Proteins</w:t>
      </w:r>
      <w:r>
        <w:t xml:space="preserve"> </w:t>
      </w:r>
      <w:r>
        <w:t xml:space="preserve">50:437–450 (2003).</w:t>
      </w:r>
      <w:r>
        <w:t xml:space="preserve"> </w:t>
      </w:r>
      <w:hyperlink r:id="rId41">
        <w:r>
          <w:rPr>
            <w:rStyle w:val="Hyperlink"/>
          </w:rPr>
          <w:t xml:space="preserve">doi:10.1002/prot.10286</w:t>
        </w:r>
      </w:hyperlink>
    </w:p>
    <w:p>
      <w:pPr>
        <w:pStyle w:val="BodyText"/>
      </w:pPr>
      <w:r>
        <w:t xml:space="preserve">Henrick K et al.</w:t>
      </w:r>
      <w:r>
        <w:t xml:space="preserve"> </w:t>
      </w:r>
      <w:r>
        <w:t xml:space="preserve">Remediation of the protein data bank archive.</w:t>
      </w:r>
      <w:r>
        <w:t xml:space="preserve"> </w:t>
      </w:r>
      <w:r>
        <w:rPr>
          <w:i/>
          <w:iCs/>
        </w:rPr>
        <w:t xml:space="preserve">Nucleic Acids Res</w:t>
      </w:r>
      <w:r>
        <w:t xml:space="preserve"> </w:t>
      </w:r>
      <w:r>
        <w:t xml:space="preserve">36:D426–D433 (2008).</w:t>
      </w:r>
      <w:r>
        <w:t xml:space="preserve"> </w:t>
      </w:r>
      <w:hyperlink r:id="rId42">
        <w:r>
          <w:rPr>
            <w:rStyle w:val="Hyperlink"/>
          </w:rPr>
          <w:t xml:space="preserve">doi:10.1093/nar/gkm937</w:t>
        </w:r>
      </w:hyperlink>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doi.org/10.1002/prot.10286" TargetMode="External" /><Relationship Type="http://schemas.openxmlformats.org/officeDocument/2006/relationships/hyperlink" Id="rId39" Target="https://doi.org/10.1073/pnas.1008930107" TargetMode="External" /><Relationship Type="http://schemas.openxmlformats.org/officeDocument/2006/relationships/hyperlink" Id="rId42" Target="https://doi.org/10.1093/nar/gkm937" TargetMode="External" /><Relationship Type="http://schemas.openxmlformats.org/officeDocument/2006/relationships/hyperlink" Id="rId38" Target="https://doi.org/10.1101/2025.03.14.643307" TargetMode="External" /><Relationship Type="http://schemas.openxmlformats.org/officeDocument/2006/relationships/hyperlink" Id="rId40" Target="https://doi.org/10.1107/S0907444909042073" TargetMode="External" /><Relationship Type="http://schemas.openxmlformats.org/officeDocument/2006/relationships/hyperlink" Id="rId20" Target="https://github.com/Tommaso-R-Marena/ChiralFold" TargetMode="External" /><Relationship Type="http://schemas.openxmlformats.org/officeDocument/2006/relationships/hyperlink" Id="rId37" Target="https://github.com/Tommaso-R-Marena/ChiralFold/blob/master/benchmarks/independent_d_residue_verification.py" TargetMode="External" /><Relationship Type="http://schemas.openxmlformats.org/officeDocument/2006/relationships/hyperlink" Id="rId36" Target="https://github.com/Tommaso-R-Marena/ChiralFold/blob/master/results/d_residue_verification.csv" TargetMode="External" /></Relationships>
</file>

<file path=word/_rels/footnotes.xml.rels><?xml version="1.0" encoding="UTF-8"?><Relationships xmlns="http://schemas.openxmlformats.org/package/2006/relationships"><Relationship Type="http://schemas.openxmlformats.org/officeDocument/2006/relationships/hyperlink" Id="rId41" Target="https://doi.org/10.1002/prot.10286" TargetMode="External" /><Relationship Type="http://schemas.openxmlformats.org/officeDocument/2006/relationships/hyperlink" Id="rId39" Target="https://doi.org/10.1073/pnas.1008930107" TargetMode="External" /><Relationship Type="http://schemas.openxmlformats.org/officeDocument/2006/relationships/hyperlink" Id="rId42" Target="https://doi.org/10.1093/nar/gkm937" TargetMode="External" /><Relationship Type="http://schemas.openxmlformats.org/officeDocument/2006/relationships/hyperlink" Id="rId38" Target="https://doi.org/10.1101/2025.03.14.643307" TargetMode="External" /><Relationship Type="http://schemas.openxmlformats.org/officeDocument/2006/relationships/hyperlink" Id="rId40" Target="https://doi.org/10.1107/S0907444909042073" TargetMode="External" /><Relationship Type="http://schemas.openxmlformats.org/officeDocument/2006/relationships/hyperlink" Id="rId20" Target="https://github.com/Tommaso-R-Marena/ChiralFold" TargetMode="External" /><Relationship Type="http://schemas.openxmlformats.org/officeDocument/2006/relationships/hyperlink" Id="rId37" Target="https://github.com/Tommaso-R-Marena/ChiralFold/blob/master/benchmarks/independent_d_residue_verification.py" TargetMode="External" /><Relationship Type="http://schemas.openxmlformats.org/officeDocument/2006/relationships/hyperlink" Id="rId36" Target="https://github.com/Tommaso-R-Marena/ChiralFold/blob/master/results/d_residue_verification.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ChiralFold: Systematic Detection of D-Amino Acid Stereochemistry Errors in the Protein Data Bank</dc:title>
  <dc:creator>Tommaso R. Marena The Catholic University of America, Washington, DC marena@cua.edu</dc:creator>
  <cp:keywords/>
  <dcterms:created xsi:type="dcterms:W3CDTF">2026-04-08T16:03:19Z</dcterms:created>
  <dcterms:modified xsi:type="dcterms:W3CDTF">2026-04-08T16:03:19Z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present ChiralFold, a general-purpose protein stereochemistry toolkit that provides chirality-correct coordinate generation, PDB structure auditing, and mirror-image L\leftrightarrowD transformation. An independent verification of 1,677 D-amino acid residues across 231 PDB files — using only the signed tetrahedron volume at each C_\alpha — identified 21 chirality errors (1.3% error rate) in 12 deposited structures where C_\alpha coordinates show L-stereochemistry despite D-amino acid labels. Bulletproof verification with five independent checks confirms 20 errors in 11 structures, with one borderline case (1KO0, signed volume +0.12). All 12 error-containing structures were deposited between 1992 and 2005, with zero errors in post-2005 entries (Mann–Whitney U=278, p=0.0027), consistent with the 2006–2008 wwPDB remediation. Resolution does not predict errors (p=0.19); errors span 0.99–2.70 Å, indicating a labeling problem rather than a data quality problem. ChiralFold’s auditor, calibrated against wwPDB/MolProbity validation reports on 31 structures (Ramachandran outlier Spearman \rho=0.49, p=0.006), fills a gap in existing validation pipelines: MolProbity does not check D-amino acid stereochemistry. The toolkit also includes an AlphaFold 3 chirality correction pipeline addressing the documented 51% violation rate on D-peptides , and a mirror-image binder design workflow validated on the MDM2:dPMI-\gamma system (K_d=53 nM). ChiralFold is available as a pip-installable Python package at https://github.com/Tommaso-R-Marena/ChiralFold.</vt:lpwstr>
  </property>
  <property fmtid="{D5CDD505-2E9C-101B-9397-08002B2CF9AE}" pid="3" name="date">
    <vt:lpwstr/>
  </property>
</Properties>
</file>