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Portal – Architekturkonzept</w:t>
      </w:r>
    </w:p>
    <w:p>
      <w:pPr/>
      <w:r>
        <w:t xml:space="preserve">Sep 26, 2026</w:t>
      </w:r>
      <w:r>
        <w:t xml:space="preserve"> · </w:t>
      </w:r>
      <w:r>
        <w:t xml:space="preserve">@Thomas</w:t>
      </w:r>
    </w:p>
    <w:p>
      <w:pPr>
        <w:pStyle w:val="Heading2"/>
      </w:pPr>
      <w:r>
        <w:t xml:space="preserve">Ziel &amp; Umfang</w:t>
      </w:r>
    </w:p>
    <w:p>
      <w:pPr/>
      <w:r>
        <w:t xml:space="preserve">Das AI Portal ist eine interne Web-Anwendung mit Chat-Oberfläche, über die Mitarbeitende zentral freigegebene KI-Modelle nutzen – mit eigener Benutzerverwaltung, persönlichen MCP-Servern, Datei-Uploads und lückenlosem Audit-Log.</w:t>
      </w:r>
    </w:p>
    <w:p>
      <w:pPr/>
      <w:r>
        <w:rPr>
          <w:b/>
        </w:rPr>
        <w:t xml:space="preserve">Anwendungsfälle:</w:t>
      </w:r>
      <w:r>
        <w:t xml:space="preserve"> allgemeine KI-Nutzung, Fehleranalysen (Logs, Stacktraces, Konfigurationen hochladen), Entwürfe für Präsentationen und Dokumente, Zugriff auf interne Systeme über MCP-Tools.</w:t>
      </w:r>
    </w:p>
    <w:p>
      <w:pPr/>
      <w:r>
        <w:rPr>
          <w:b/>
        </w:rPr>
        <w:t xml:space="preserve">Im Umfang (Version 1):</w:t>
      </w:r>
    </w:p>
    <w:p>
      <w:pPr>
        <w:pStyle w:val="ListParagraph"/>
        <w:numPr>
          <w:ilvl w:val="0"/>
          <w:numId w:val="2"/>
        </w:numPr>
      </w:pPr>
      <w:r>
        <w:t xml:space="preserve">Anmeldung lokal, per LDAP/Active Directory und per OIDC (z. B. Azure AD / Entra ID)</w:t>
      </w:r>
    </w:p>
    <w:p>
      <w:pPr>
        <w:pStyle w:val="ListParagraph"/>
        <w:numPr>
          <w:ilvl w:val="0"/>
          <w:numId w:val="2"/>
        </w:numPr>
      </w:pPr>
      <w:r>
        <w:t xml:space="preserve">Rollen </w:t>
      </w:r>
      <w:r>
        <w:rPr>
          <w:i/>
        </w:rPr>
        <w:t xml:space="preserve">Admin</w:t>
      </w:r>
      <w:r>
        <w:t xml:space="preserve"> und </w:t>
      </w:r>
      <w:r>
        <w:rPr>
          <w:i/>
        </w:rPr>
        <w:t xml:space="preserve">User</w:t>
      </w:r>
      <w:r>
        <w:t xml:space="preserve">, Just-in-Time-Anlage externer Benutzer</w:t>
      </w:r>
    </w:p>
    <w:p>
      <w:pPr>
        <w:pStyle w:val="ListParagraph"/>
        <w:numPr>
          <w:ilvl w:val="0"/>
          <w:numId w:val="2"/>
        </w:numPr>
      </w:pPr>
      <w:r>
        <w:t xml:space="preserve">KI-Anbieter (Anthropic Claude, AWS Bedrock, GitHub Models / GitHub Enterprise, OpenAI-kompatibel) zentral durch Admins anlegen</w:t>
      </w:r>
    </w:p>
    <w:p>
      <w:pPr>
        <w:pStyle w:val="ListParagraph"/>
        <w:numPr>
          <w:ilvl w:val="0"/>
          <w:numId w:val="2"/>
        </w:numPr>
      </w:pPr>
      <w:r>
        <w:t xml:space="preserve">Modellauswahl aus einem vordefinierten, vom Admin freigegebenen Katalog</w:t>
      </w:r>
    </w:p>
    <w:p>
      <w:pPr>
        <w:pStyle w:val="ListParagraph"/>
        <w:numPr>
          <w:ilvl w:val="0"/>
          <w:numId w:val="2"/>
        </w:numPr>
      </w:pPr>
      <w:r>
        <w:t xml:space="preserve">Remote-MCP-Server pro Benutzer (Streamable HTTP und SSE)</w:t>
      </w:r>
    </w:p>
    <w:p>
      <w:pPr>
        <w:pStyle w:val="ListParagraph"/>
        <w:numPr>
          <w:ilvl w:val="0"/>
          <w:numId w:val="2"/>
        </w:numPr>
      </w:pPr>
      <w:r>
        <w:t xml:space="preserve">Uploads (Text, Code, Logs, PDF, DOCX, Bilder) als Kontext für den Chat</w:t>
      </w:r>
    </w:p>
    <w:p>
      <w:pPr>
        <w:pStyle w:val="ListParagraph"/>
        <w:numPr>
          <w:ilvl w:val="0"/>
          <w:numId w:val="2"/>
        </w:numPr>
      </w:pPr>
      <w:r>
        <w:t xml:space="preserve">Audit-Log in PostgreSQL plus strukturiertes JSON auf stdout</w:t>
      </w:r>
    </w:p>
    <w:p>
      <w:pPr>
        <w:pStyle w:val="ListParagraph"/>
        <w:numPr>
          <w:ilvl w:val="0"/>
          <w:numId w:val="2"/>
        </w:numPr>
      </w:pPr>
      <w:r>
        <w:t xml:space="preserve">Betrieb als Container unter Docker und Kubernetes; Oberfläche auf Deutsch und Englisch mit Sprachumschalter</w:t>
      </w:r>
    </w:p>
    <w:p>
      <w:pPr/>
      <w:r>
        <w:rPr>
          <w:b/>
        </w:rPr>
        <w:t xml:space="preserve">Nicht im Umfang (Version 1):</w:t>
      </w:r>
      <w:r>
        <w:t xml:space="preserve"> Bildgenerierung, Export als PPTX/DOCX, geteilte Chats und Team-Workspaces, Mandantenfähigkeit – siehe Roadmap.</w:t>
      </w:r>
    </w:p>
    <w:p>
      <w:pPr>
        <w:pStyle w:val="Heading2"/>
      </w:pPr>
      <w:r>
        <w:t xml:space="preserve">Varianten</w:t>
      </w:r>
    </w:p>
    <w:p>
      <w:pPr/>
      <w:r>
        <w:t xml:space="preserve">Vier Varianten sind realistisch. Welche passt, hängt vor allem an einer Frage: Müssen die Leserechte aus SharePoint und Confluence pro Dokument exakt übernommen werden, oder reicht eine Freigabe pro Sammlung und Gruppe?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Variante</w:t>
            </w:r>
          </w:p>
        </w:tc>
        <w:tc>
          <w:tcPr>
            <w:tcW w:w="1872" w:type="dxa"/>
            <w:shd w:val="clear" w:color="auto" w:fill="F2F2F2"/>
          </w:tcPr>
          <w:p>
            <w:pPr/>
            <w:r>
              <w:t xml:space="preserve">Aufbau</w:t>
            </w:r>
          </w:p>
        </w:tc>
        <w:tc>
          <w:tcPr>
            <w:tcW w:w="1872" w:type="dxa"/>
            <w:shd w:val="clear" w:color="auto" w:fill="F2F2F2"/>
          </w:tcPr>
          <w:p>
            <w:pPr/>
            <w:r>
              <w:t xml:space="preserve">Stärken</w:t>
            </w:r>
          </w:p>
        </w:tc>
        <w:tc>
          <w:tcPr>
            <w:tcW w:w="1872" w:type="dxa"/>
            <w:shd w:val="clear" w:color="auto" w:fill="F2F2F2"/>
          </w:tcPr>
          <w:p>
            <w:pPr/>
            <w:r>
              <w:t xml:space="preserve">Schwächen</w:t>
            </w:r>
          </w:p>
        </w:tc>
        <w:tc>
          <w:tcPr>
            <w:tcW w:w="1872" w:type="dxa"/>
            <w:shd w:val="clear" w:color="auto" w:fill="F2F2F2"/>
          </w:tcPr>
          <w:p>
            <w:pPr/>
            <w:r>
              <w:t xml:space="preserve">Sinnvoll, wenn</w:t>
            </w:r>
          </w:p>
        </w:tc>
      </w:tr>
      <w:tr>
        <w:tc>
          <w:tcPr>
            <w:tcW w:w="1872" w:type="dxa"/>
          </w:tcPr>
          <w:p>
            <w:pPr/>
            <w:r>
              <w:rPr>
                <w:b/>
              </w:rPr>
              <w:t xml:space="preserve">A – Eigenes Portal</w:t>
            </w:r>
            <w:r>
              <w:t xml:space="preserve"> (Stand dieses Dokuments)</w:t>
            </w:r>
          </w:p>
        </w:tc>
        <w:tc>
          <w:tcPr>
            <w:tcW w:w="1872" w:type="dxa"/>
          </w:tcPr>
          <w:p>
            <w:pPr/>
            <w:r>
              <w:t xml:space="preserve">Grundgerüst: Chat, Benutzerverwaltung, MCP pro Benutzer, Wissensdatenbank, Audit, alles in einem Container + PostgreSQL</w:t>
            </w:r>
          </w:p>
        </w:tc>
        <w:tc>
          <w:tcPr>
            <w:tcW w:w="1872" w:type="dxa"/>
          </w:tcPr>
          <w:p>
            <w:pPr/>
            <w:r>
              <w:t xml:space="preserve">Alle Anforderungen abgedeckt; Audit genau nach Vorgabe; keine Lizenzkosten; volle Kontrolle</w:t>
            </w:r>
          </w:p>
        </w:tc>
        <w:tc>
          <w:tcPr>
            <w:tcW w:w="1872" w:type="dxa"/>
          </w:tcPr>
          <w:p>
            <w:pPr/>
            <w:r>
              <w:t xml:space="preserve">Wartung und Weiterentwicklung liegen im Haus; keine Rechte pro Dokument; Suchqualität mit echten Daten noch unbewertet</w:t>
            </w:r>
          </w:p>
        </w:tc>
        <w:tc>
          <w:tcPr>
            <w:tcW w:w="1872" w:type="dxa"/>
          </w:tcPr>
          <w:p>
            <w:pPr/>
            <w:r>
              <w:t xml:space="preserve">Sammlungsrechte reichen und ein Team das Portal dauerhaft betreuen kann</w:t>
            </w:r>
          </w:p>
        </w:tc>
      </w:tr>
      <w:tr>
        <w:tc>
          <w:tcPr>
            <w:tcW w:w="1872" w:type="dxa"/>
          </w:tcPr>
          <w:p>
            <w:pPr/>
            <w:r>
              <w:rPr>
                <w:b/>
              </w:rPr>
              <w:t xml:space="preserve">B – LibreChat + Wissens-MCP</w:t>
            </w:r>
          </w:p>
        </w:tc>
        <w:tc>
          <w:tcPr>
            <w:tcW w:w="1872" w:type="dxa"/>
          </w:tcPr>
          <w:p>
            <w:pPr/>
            <w:r>
              <w:t xml:space="preserve">LibreChat als Chat-Oberfläche; aus dem eigenen Portal nur Wissensdatenbank und Sync, angebunden über den MCP-Endpunkt </w:t>
            </w:r>
            <w:r>
              <w:rPr>
                <w:rStyle w:val="CodeChar"/>
              </w:rPr>
              <w:t xml:space="preserve">/mcp</w:t>
            </w:r>
          </w:p>
        </w:tc>
        <w:tc>
          <w:tcPr>
            <w:tcW w:w="1872" w:type="dxa"/>
          </w:tcPr>
          <w:p>
            <w:pPr/>
            <w:r>
              <w:t xml:space="preserve">Ausgereifte, aktiv gepflegte Chat-Oberfläche; MCP pro Benutzer inkl. OAuth; eigener Code schrumpft auf Wissensdatenbank; MIT-Lizenz</w:t>
            </w:r>
          </w:p>
        </w:tc>
        <w:tc>
          <w:tcPr>
            <w:tcW w:w="1872" w:type="dxa"/>
          </w:tcPr>
          <w:p>
            <w:pPr/>
            <w:r>
              <w:t xml:space="preserve">Zwei Systeme betreiben; Benutzer brauchen ein Token für die Wissensdatenbank; Audit verteilt sich auf zwei Systeme</w:t>
            </w:r>
          </w:p>
        </w:tc>
        <w:tc>
          <w:tcPr>
            <w:tcW w:w="1872" w:type="dxa"/>
          </w:tcPr>
          <w:p>
            <w:pPr/>
            <w:r>
              <w:t xml:space="preserve">Man die Chat-Oberfläche nicht selbst pflegen will, die Wissensdatenbank aber unter eigener Kontrolle bleiben soll</w:t>
            </w:r>
          </w:p>
        </w:tc>
      </w:tr>
      <w:tr>
        <w:tc>
          <w:tcPr>
            <w:tcW w:w="1872" w:type="dxa"/>
          </w:tcPr>
          <w:p>
            <w:pPr/>
            <w:r>
              <w:rPr>
                <w:b/>
              </w:rPr>
              <w:t xml:space="preserve">C – Onyx Enterprise</w:t>
            </w:r>
          </w:p>
        </w:tc>
        <w:tc>
          <w:tcPr>
            <w:tcW w:w="1872" w:type="dxa"/>
          </w:tcPr>
          <w:p>
            <w:pPr/>
            <w:r>
              <w:t xml:space="preserve">Fertige Plattform mit 50+ Konnektoren, Suche und Chat</w:t>
            </w:r>
          </w:p>
        </w:tc>
        <w:tc>
          <w:tcPr>
            <w:tcW w:w="1872" w:type="dxa"/>
          </w:tcPr>
          <w:p>
            <w:pPr/>
            <w:r>
              <w:t xml:space="preserve">Einzige Variante mit Rechten pro Dokument aus der Quelle (Permission Sync); ausgereifte Suche; SCIM</w:t>
            </w:r>
          </w:p>
        </w:tc>
        <w:tc>
          <w:tcPr>
            <w:tcW w:w="1872" w:type="dxa"/>
          </w:tcPr>
          <w:p>
            <w:pPr/>
            <w:r>
              <w:t xml:space="preserve">Azure-SSO und Permission Sync nur in der kostenpflichtigen Enterprise Edition; MCP pro Benutzer und LDAP nicht belegt; Abhängigkeit vom Hersteller</w:t>
            </w:r>
          </w:p>
        </w:tc>
        <w:tc>
          <w:tcPr>
            <w:tcW w:w="1872" w:type="dxa"/>
          </w:tcPr>
          <w:p>
            <w:pPr/>
            <w:r>
              <w:t xml:space="preserve">Dokumentrechte exakt gespiegelt werden müssen und Budget für Lizenzen da ist</w:t>
            </w:r>
          </w:p>
        </w:tc>
      </w:tr>
      <w:tr>
        <w:tc>
          <w:tcPr>
            <w:tcW w:w="1872" w:type="dxa"/>
          </w:tcPr>
          <w:p>
            <w:pPr/>
            <w:r>
              <w:rPr>
                <w:b/>
              </w:rPr>
              <w:t xml:space="preserve">D – Open WebUI + oikb</w:t>
            </w:r>
          </w:p>
        </w:tc>
        <w:tc>
          <w:tcPr>
            <w:tcW w:w="1872" w:type="dxa"/>
          </w:tcPr>
          <w:p>
            <w:pPr/>
            <w:r>
              <w:t xml:space="preserve">Open WebUI mit Wissensdatenbanken, Sync über das Zusatztool oikb (44 Quellen)</w:t>
            </w:r>
          </w:p>
        </w:tc>
        <w:tc>
          <w:tcPr>
            <w:tcW w:w="1872" w:type="dxa"/>
          </w:tcPr>
          <w:p>
            <w:pPr/>
            <w:r>
              <w:t xml:space="preserve">Sehr verbreitet; Hybrid-Suche mit Reranking; viele Quellen</w:t>
            </w:r>
          </w:p>
        </w:tc>
        <w:tc>
          <w:tcPr>
            <w:tcW w:w="1872" w:type="dxa"/>
          </w:tcPr>
          <w:p>
            <w:pPr/>
            <w:r>
              <w:t xml:space="preserve">Benutzer können keine eigenen MCP-Server anlegen (nur Admins); Branding-Pflicht ab 50 Nutzern oder Enterprise-Lizenz</w:t>
            </w:r>
          </w:p>
        </w:tc>
        <w:tc>
          <w:tcPr>
            <w:tcW w:w="1872" w:type="dxa"/>
          </w:tcPr>
          <w:p>
            <w:pPr/>
            <w:r>
              <w:t xml:space="preserve">MCP pro Benutzer verzichtbar ist</w:t>
            </w:r>
          </w:p>
        </w:tc>
      </w:tr>
    </w:tbl>
    <w:p>
      <w:pPr/>
      <w:r>
        <w:rPr>
          <w:b/>
        </w:rPr>
        <w:t xml:space="preserve">Verworfen:</w:t>
      </w:r>
      <w:r>
        <w:t xml:space="preserve"> Oracle AI Database 26ai statt PostgreSQL – bringt Embeddings in der Datenbank, löst aber weder die Rechte-Synchronisation noch Konnektoren oder Suchqualität und erfordert ein Neuschreiben des Datenzugriffs (Details im Abschnitt Wissensdatenbank). Kommerzielle SaaS (Claude Enterprise, ChatGPT Enterprise, Microsoft Copilot) – nicht selbst gehostet und an einen Modellanbieter gebunden.</w:t>
      </w:r>
    </w:p>
    <w:p>
      <w:pPr/>
      <w:r>
        <w:rPr>
          <w:b/>
        </w:rPr>
        <w:t xml:space="preserve">Empfohlenes Vorgehen:</w:t>
      </w:r>
      <w:r>
        <w:t xml:space="preserve"> Das Grundgerüst (A) zwei bis vier Wochen mit echten Dokumenten und einer Pilotgruppe testen. Parallel LibreChat (B) mit dem Wissens-MCP prüfen. Stellt sich heraus, dass Rechte pro Dokument Pflicht sind, Onyx Enterprise (C) anfragen und die Lizenzkosten gegen den Eigenbau dieser Funktion stellen.</w:t>
      </w:r>
    </w:p>
    <w:p>
      <w:pPr>
        <w:pStyle w:val="Heading2"/>
      </w:pPr>
      <w:r>
        <w:t xml:space="preserve">Entscheidungsprotokoll</w:t>
      </w:r>
    </w:p>
    <w:p>
      <w:pPr/>
      <w:r>
        <w:t xml:space="preserve">20 Entscheidungen, davon 9 entschieden, 7 vorläufig und 4 offen. </w:t>
      </w:r>
      <w:r>
        <w:rPr>
          <w:i/>
        </w:rPr>
        <w:t xml:space="preserve">Vorläufig</w:t>
      </w:r>
      <w:r>
        <w:t xml:space="preserve"> heißt: im Grundgerüst so umgesetzt, aber ohne ausdrückliche Freigabe und mit vertretbarem Aufwand änderbar.</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w:t>
            </w:r>
          </w:p>
        </w:tc>
        <w:tc>
          <w:tcPr>
            <w:tcW w:w="1560" w:type="dxa"/>
            <w:shd w:val="clear" w:color="auto" w:fill="F2F2F2"/>
          </w:tcPr>
          <w:p>
            <w:pPr/>
            <w:r>
              <w:t xml:space="preserve">Thema</w:t>
            </w:r>
          </w:p>
        </w:tc>
        <w:tc>
          <w:tcPr>
            <w:tcW w:w="1560" w:type="dxa"/>
            <w:shd w:val="clear" w:color="auto" w:fill="F2F2F2"/>
          </w:tcPr>
          <w:p>
            <w:pPr/>
            <w:r>
              <w:t xml:space="preserve">Entscheidung</w:t>
            </w:r>
          </w:p>
        </w:tc>
        <w:tc>
          <w:tcPr>
            <w:tcW w:w="1560" w:type="dxa"/>
            <w:shd w:val="clear" w:color="auto" w:fill="F2F2F2"/>
          </w:tcPr>
          <w:p>
            <w:pPr/>
            <w:r>
              <w:t xml:space="preserve">Alternativen</w:t>
            </w:r>
          </w:p>
        </w:tc>
        <w:tc>
          <w:tcPr>
            <w:tcW w:w="1560" w:type="dxa"/>
            <w:shd w:val="clear" w:color="auto" w:fill="F2F2F2"/>
          </w:tcPr>
          <w:p>
            <w:pPr/>
            <w:r>
              <w:t xml:space="preserve">Begründung</w:t>
            </w:r>
          </w:p>
        </w:tc>
        <w:tc>
          <w:tcPr>
            <w:tcW w:w="1560" w:type="dxa"/>
            <w:shd w:val="clear" w:color="auto" w:fill="F2F2F2"/>
          </w:tcPr>
          <w:p>
            <w:pPr/>
            <w:r>
              <w:t xml:space="preserve">Status</w:t>
            </w:r>
          </w:p>
        </w:tc>
      </w:tr>
      <w:tr>
        <w:tc>
          <w:tcPr>
            <w:tcW w:w="1560" w:type="dxa"/>
          </w:tcPr>
          <w:p>
            <w:pPr/>
            <w:r>
              <w:t xml:space="preserve">1</w:t>
            </w:r>
          </w:p>
        </w:tc>
        <w:tc>
          <w:tcPr>
            <w:tcW w:w="1560" w:type="dxa"/>
          </w:tcPr>
          <w:p>
            <w:pPr/>
            <w:r>
              <w:t xml:space="preserve">Build vs. Buy</w:t>
            </w:r>
          </w:p>
        </w:tc>
        <w:tc>
          <w:tcPr>
            <w:tcW w:w="1560" w:type="dxa"/>
          </w:tcPr>
          <w:p>
            <w:pPr/>
            <w:r>
              <w:t xml:space="preserve">Eigenes Grundgerüst als Pilot (Variante A)</w:t>
            </w:r>
          </w:p>
        </w:tc>
        <w:tc>
          <w:tcPr>
            <w:tcW w:w="1560" w:type="dxa"/>
          </w:tcPr>
          <w:p>
            <w:pPr/>
            <w:r>
              <w:t xml:space="preserve">LibreChat + Wissens-MCP, Onyx Enterprise, Open WebUI + oikb</w:t>
            </w:r>
          </w:p>
        </w:tc>
        <w:tc>
          <w:tcPr>
            <w:tcW w:w="1560" w:type="dxa"/>
          </w:tcPr>
          <w:p>
            <w:pPr/>
            <w:r>
              <w:t xml:space="preserve">Einzige Variante ohne Lücke und ohne Lizenzkosten; endgültige Wahl hängt an #13</w:t>
            </w:r>
          </w:p>
        </w:tc>
        <w:tc>
          <w:tcPr>
            <w:tcW w:w="1560" w:type="dxa"/>
          </w:tcPr>
          <w:p>
            <w:pPr/>
            <w:r>
              <w:t xml:space="preserve">Offen</w:t>
            </w:r>
          </w:p>
        </w:tc>
      </w:tr>
      <w:tr>
        <w:tc>
          <w:tcPr>
            <w:tcW w:w="1560" w:type="dxa"/>
          </w:tcPr>
          <w:p>
            <w:pPr/>
            <w:r>
              <w:t xml:space="preserve">2</w:t>
            </w:r>
          </w:p>
        </w:tc>
        <w:tc>
          <w:tcPr>
            <w:tcW w:w="1560" w:type="dxa"/>
          </w:tcPr>
          <w:p>
            <w:pPr/>
            <w:r>
              <w:t xml:space="preserve">Sprache</w:t>
            </w:r>
          </w:p>
        </w:tc>
        <w:tc>
          <w:tcPr>
            <w:tcW w:w="1560" w:type="dxa"/>
          </w:tcPr>
          <w:p>
            <w:pPr/>
            <w:r>
              <w:t xml:space="preserve">TypeScript</w:t>
            </w:r>
          </w:p>
        </w:tc>
        <w:tc>
          <w:tcPr>
            <w:tcW w:w="1560" w:type="dxa"/>
          </w:tcPr>
          <w:p>
            <w:pPr/>
            <w:r>
              <w:t xml:space="preserve">Java (Spring Boot, Spring AI)</w:t>
            </w:r>
          </w:p>
        </w:tc>
        <w:tc>
          <w:tcPr>
            <w:tcW w:w="1560" w:type="dxa"/>
          </w:tcPr>
          <w:p>
            <w:pPr/>
            <w:r>
              <w:t xml:space="preserve">Offizielles MCP-SDK und AI SDK am ausgereiftesten; eine Sprache für Front- und Backend</w:t>
            </w:r>
          </w:p>
        </w:tc>
        <w:tc>
          <w:tcPr>
            <w:tcW w:w="1560" w:type="dxa"/>
          </w:tcPr>
          <w:p>
            <w:pPr/>
            <w:r>
              <w:t xml:space="preserve">Entschieden</w:t>
            </w:r>
          </w:p>
        </w:tc>
      </w:tr>
      <w:tr>
        <w:tc>
          <w:tcPr>
            <w:tcW w:w="1560" w:type="dxa"/>
          </w:tcPr>
          <w:p>
            <w:pPr/>
            <w:r>
              <w:t xml:space="preserve">3</w:t>
            </w:r>
          </w:p>
        </w:tc>
        <w:tc>
          <w:tcPr>
            <w:tcW w:w="1560" w:type="dxa"/>
          </w:tcPr>
          <w:p>
            <w:pPr/>
            <w:r>
              <w:t xml:space="preserve">Backend-Framework</w:t>
            </w:r>
          </w:p>
        </w:tc>
        <w:tc>
          <w:tcPr>
            <w:tcW w:w="1560" w:type="dxa"/>
          </w:tcPr>
          <w:p>
            <w:pPr/>
            <w:r>
              <w:t xml:space="preserve">Express 5 + Zod</w:t>
            </w:r>
          </w:p>
        </w:tc>
        <w:tc>
          <w:tcPr>
            <w:tcW w:w="1560" w:type="dxa"/>
          </w:tcPr>
          <w:p>
            <w:pPr/>
            <w:r>
              <w:t xml:space="preserve">NestJS</w:t>
            </w:r>
          </w:p>
        </w:tc>
        <w:tc>
          <w:tcPr>
            <w:tcW w:w="1560" w:type="dxa"/>
          </w:tcPr>
          <w:p>
            <w:pPr/>
            <w:r>
              <w:t xml:space="preserve">Weniger Abstraktion, schneller Einstieg; bei wachsendem Team zu NestJS migrierbar</w:t>
            </w:r>
          </w:p>
        </w:tc>
        <w:tc>
          <w:tcPr>
            <w:tcW w:w="1560" w:type="dxa"/>
          </w:tcPr>
          <w:p>
            <w:pPr/>
            <w:r>
              <w:t xml:space="preserve">Vorläufig</w:t>
            </w:r>
          </w:p>
        </w:tc>
      </w:tr>
      <w:tr>
        <w:tc>
          <w:tcPr>
            <w:tcW w:w="1560" w:type="dxa"/>
          </w:tcPr>
          <w:p>
            <w:pPr/>
            <w:r>
              <w:t xml:space="preserve">4</w:t>
            </w:r>
          </w:p>
        </w:tc>
        <w:tc>
          <w:tcPr>
            <w:tcW w:w="1560" w:type="dxa"/>
          </w:tcPr>
          <w:p>
            <w:pPr/>
            <w:r>
              <w:t xml:space="preserve">Datenbank</w:t>
            </w:r>
          </w:p>
        </w:tc>
        <w:tc>
          <w:tcPr>
            <w:tcW w:w="1560" w:type="dxa"/>
          </w:tcPr>
          <w:p>
            <w:pPr/>
            <w:r>
              <w:t xml:space="preserve">PostgreSQL 16 + pgvector</w:t>
            </w:r>
          </w:p>
        </w:tc>
        <w:tc>
          <w:tcPr>
            <w:tcW w:w="1560" w:type="dxa"/>
          </w:tcPr>
          <w:p>
            <w:pPr/>
            <w:r>
              <w:t xml:space="preserve">Oracle AI Database 26ai, separate Vektor-DB (Qdrant, Milvus)</w:t>
            </w:r>
          </w:p>
        </w:tc>
        <w:tc>
          <w:tcPr>
            <w:tcW w:w="1560" w:type="dxa"/>
          </w:tcPr>
          <w:p>
            <w:pPr/>
            <w:r>
              <w:t xml:space="preserve">Eine Datenbank für alles, leicht im Container zu betreiben; Oracle bringt für die offenen Punkte keinen Vorteil</w:t>
            </w:r>
          </w:p>
        </w:tc>
        <w:tc>
          <w:tcPr>
            <w:tcW w:w="1560" w:type="dxa"/>
          </w:tcPr>
          <w:p>
            <w:pPr/>
            <w:r>
              <w:t xml:space="preserve">Entschieden</w:t>
            </w:r>
          </w:p>
        </w:tc>
      </w:tr>
      <w:tr>
        <w:tc>
          <w:tcPr>
            <w:tcW w:w="1560" w:type="dxa"/>
          </w:tcPr>
          <w:p>
            <w:pPr/>
            <w:r>
              <w:t xml:space="preserve">5</w:t>
            </w:r>
          </w:p>
        </w:tc>
        <w:tc>
          <w:tcPr>
            <w:tcW w:w="1560" w:type="dxa"/>
          </w:tcPr>
          <w:p>
            <w:pPr/>
            <w:r>
              <w:t xml:space="preserve">Betrieb</w:t>
            </w:r>
          </w:p>
        </w:tc>
        <w:tc>
          <w:tcPr>
            <w:tcW w:w="1560" w:type="dxa"/>
          </w:tcPr>
          <w:p>
            <w:pPr/>
            <w:r>
              <w:t xml:space="preserve">Ein zustandsloser Container, Docker und Kubernetes</w:t>
            </w:r>
          </w:p>
        </w:tc>
        <w:tc>
          <w:tcPr>
            <w:tcW w:w="1560" w:type="dxa"/>
          </w:tcPr>
          <w:p>
            <w:pPr/>
            <w:r>
              <w:t xml:space="preserve">Getrennte Dienste für API, UI, Worker</w:t>
            </w:r>
          </w:p>
        </w:tc>
        <w:tc>
          <w:tcPr>
            <w:tcW w:w="1560" w:type="dxa"/>
          </w:tcPr>
          <w:p>
            <w:pPr/>
            <w:r>
              <w:t xml:space="preserve">Einfaches Deployment, horizontale Skalierung; Worker per </w:t>
            </w:r>
            <w:r>
              <w:rPr>
                <w:rStyle w:val="CodeChar"/>
              </w:rPr>
              <w:t xml:space="preserve">KNOWLEDGE_WORKER</w:t>
            </w:r>
            <w:r>
              <w:t xml:space="preserve"> abtrennbar</w:t>
            </w:r>
          </w:p>
        </w:tc>
        <w:tc>
          <w:tcPr>
            <w:tcW w:w="1560" w:type="dxa"/>
          </w:tcPr>
          <w:p>
            <w:pPr/>
            <w:r>
              <w:t xml:space="preserve">Entschieden</w:t>
            </w:r>
          </w:p>
        </w:tc>
      </w:tr>
      <w:tr>
        <w:tc>
          <w:tcPr>
            <w:tcW w:w="1560" w:type="dxa"/>
          </w:tcPr>
          <w:p>
            <w:pPr/>
            <w:r>
              <w:t xml:space="preserve">6</w:t>
            </w:r>
          </w:p>
        </w:tc>
        <w:tc>
          <w:tcPr>
            <w:tcW w:w="1560" w:type="dxa"/>
          </w:tcPr>
          <w:p>
            <w:pPr/>
            <w:r>
              <w:t xml:space="preserve">Anmeldung</w:t>
            </w:r>
          </w:p>
        </w:tc>
        <w:tc>
          <w:tcPr>
            <w:tcW w:w="1560" w:type="dxa"/>
          </w:tcPr>
          <w:p>
            <w:pPr/>
            <w:r>
              <w:t xml:space="preserve">Lokal, LDAP und OIDC parallel, Just-in-Time-Anlage</w:t>
            </w:r>
          </w:p>
        </w:tc>
        <w:tc>
          <w:tcPr>
            <w:tcW w:w="1560" w:type="dxa"/>
          </w:tcPr>
          <w:p>
            <w:pPr/>
            <w:r>
              <w:t xml:space="preserve">Nur SSO, SCIM-Provisionierung</w:t>
            </w:r>
          </w:p>
        </w:tc>
        <w:tc>
          <w:tcPr>
            <w:tcW w:w="1560" w:type="dxa"/>
          </w:tcPr>
          <w:p>
            <w:pPr/>
            <w:r>
              <w:t xml:space="preserve">Anforderung; lokale Konten für Notfall und Dienstkonten</w:t>
            </w:r>
          </w:p>
        </w:tc>
        <w:tc>
          <w:tcPr>
            <w:tcW w:w="1560" w:type="dxa"/>
          </w:tcPr>
          <w:p>
            <w:pPr/>
            <w:r>
              <w:t xml:space="preserve">Entschieden</w:t>
            </w:r>
          </w:p>
        </w:tc>
      </w:tr>
      <w:tr>
        <w:tc>
          <w:tcPr>
            <w:tcW w:w="1560" w:type="dxa"/>
          </w:tcPr>
          <w:p>
            <w:pPr/>
            <w:r>
              <w:t xml:space="preserve">7</w:t>
            </w:r>
          </w:p>
        </w:tc>
        <w:tc>
          <w:tcPr>
            <w:tcW w:w="1560" w:type="dxa"/>
          </w:tcPr>
          <w:p>
            <w:pPr/>
            <w:r>
              <w:t xml:space="preserve">Sitzung</w:t>
            </w:r>
          </w:p>
        </w:tc>
        <w:tc>
          <w:tcPr>
            <w:tcW w:w="1560" w:type="dxa"/>
          </w:tcPr>
          <w:p>
            <w:pPr/>
            <w:r>
              <w:t xml:space="preserve">Signiertes JWT im HttpOnly-Cookie, Benutzer pro Anfrage aus der DB</w:t>
            </w:r>
          </w:p>
        </w:tc>
        <w:tc>
          <w:tcPr>
            <w:tcW w:w="1560" w:type="dxa"/>
          </w:tcPr>
          <w:p>
            <w:pPr/>
            <w:r>
              <w:t xml:space="preserve">Serverseitiger Session-Store (Redis)</w:t>
            </w:r>
          </w:p>
        </w:tc>
        <w:tc>
          <w:tcPr>
            <w:tcW w:w="1560" w:type="dxa"/>
          </w:tcPr>
          <w:p>
            <w:pPr/>
            <w:r>
              <w:t xml:space="preserve">Kein zusätzlicher Dienst; Sperren wirken trotzdem sofort</w:t>
            </w:r>
          </w:p>
        </w:tc>
        <w:tc>
          <w:tcPr>
            <w:tcW w:w="1560" w:type="dxa"/>
          </w:tcPr>
          <w:p>
            <w:pPr/>
            <w:r>
              <w:t xml:space="preserve">Vorläufig</w:t>
            </w:r>
          </w:p>
        </w:tc>
      </w:tr>
      <w:tr>
        <w:tc>
          <w:tcPr>
            <w:tcW w:w="1560" w:type="dxa"/>
          </w:tcPr>
          <w:p>
            <w:pPr/>
            <w:r>
              <w:t xml:space="preserve">8</w:t>
            </w:r>
          </w:p>
        </w:tc>
        <w:tc>
          <w:tcPr>
            <w:tcW w:w="1560" w:type="dxa"/>
          </w:tcPr>
          <w:p>
            <w:pPr/>
            <w:r>
              <w:t xml:space="preserve">KI-Anbindung</w:t>
            </w:r>
          </w:p>
        </w:tc>
        <w:tc>
          <w:tcPr>
            <w:tcW w:w="1560" w:type="dxa"/>
          </w:tcPr>
          <w:p>
            <w:pPr/>
            <w:r>
              <w:t xml:space="preserve">Vercel AI SDK direkt im Portal</w:t>
            </w:r>
          </w:p>
        </w:tc>
        <w:tc>
          <w:tcPr>
            <w:tcW w:w="1560" w:type="dxa"/>
          </w:tcPr>
          <w:p>
            <w:pPr/>
            <w:r>
              <w:t xml:space="preserve">LiteLLM als Gateway davor, direkte Anbieter-SDKs</w:t>
            </w:r>
          </w:p>
        </w:tc>
        <w:tc>
          <w:tcPr>
            <w:tcW w:w="1560" w:type="dxa"/>
          </w:tcPr>
          <w:p>
            <w:pPr/>
            <w:r>
              <w:t xml:space="preserve">Einheitliche Schnittstelle mit Streaming und Tool-Loop; LiteLLM kann später für Kontingente ergänzt werden</w:t>
            </w:r>
          </w:p>
        </w:tc>
        <w:tc>
          <w:tcPr>
            <w:tcW w:w="1560" w:type="dxa"/>
          </w:tcPr>
          <w:p>
            <w:pPr/>
            <w:r>
              <w:t xml:space="preserve">Vorläufig</w:t>
            </w:r>
          </w:p>
        </w:tc>
      </w:tr>
      <w:tr>
        <w:tc>
          <w:tcPr>
            <w:tcW w:w="1560" w:type="dxa"/>
          </w:tcPr>
          <w:p>
            <w:pPr/>
            <w:r>
              <w:t xml:space="preserve">9</w:t>
            </w:r>
          </w:p>
        </w:tc>
        <w:tc>
          <w:tcPr>
            <w:tcW w:w="1560" w:type="dxa"/>
          </w:tcPr>
          <w:p>
            <w:pPr/>
            <w:r>
              <w:t xml:space="preserve">Modellauswahl</w:t>
            </w:r>
          </w:p>
        </w:tc>
        <w:tc>
          <w:tcPr>
            <w:tcW w:w="1560" w:type="dxa"/>
          </w:tcPr>
          <w:p>
            <w:pPr/>
            <w:r>
              <w:t xml:space="preserve">Vom Admin freigegebener Katalog</w:t>
            </w:r>
          </w:p>
        </w:tc>
        <w:tc>
          <w:tcPr>
            <w:tcW w:w="1560" w:type="dxa"/>
          </w:tcPr>
          <w:p>
            <w:pPr/>
            <w:r>
              <w:t xml:space="preserve">Freie Modellwahl, Freigabe pro Gruppe</w:t>
            </w:r>
          </w:p>
        </w:tc>
        <w:tc>
          <w:tcPr>
            <w:tcW w:w="1560" w:type="dxa"/>
          </w:tcPr>
          <w:p>
            <w:pPr/>
            <w:r>
              <w:t xml:space="preserve">Anforderung „vordefinierte Auswahl“; Freigabe pro Gruppe in Roadmap 1.1</w:t>
            </w:r>
          </w:p>
        </w:tc>
        <w:tc>
          <w:tcPr>
            <w:tcW w:w="1560" w:type="dxa"/>
          </w:tcPr>
          <w:p>
            <w:pPr/>
            <w:r>
              <w:t xml:space="preserve">Entschieden</w:t>
            </w:r>
          </w:p>
        </w:tc>
      </w:tr>
      <w:tr>
        <w:tc>
          <w:tcPr>
            <w:tcW w:w="1560" w:type="dxa"/>
          </w:tcPr>
          <w:p>
            <w:pPr/>
            <w:r>
              <w:t xml:space="preserve">10</w:t>
            </w:r>
          </w:p>
        </w:tc>
        <w:tc>
          <w:tcPr>
            <w:tcW w:w="1560" w:type="dxa"/>
          </w:tcPr>
          <w:p>
            <w:pPr/>
            <w:r>
              <w:t xml:space="preserve">MCP pro Benutzer</w:t>
            </w:r>
          </w:p>
        </w:tc>
        <w:tc>
          <w:tcPr>
            <w:tcW w:w="1560" w:type="dxa"/>
          </w:tcPr>
          <w:p>
            <w:pPr/>
            <w:r>
              <w:t xml:space="preserve">Remote-Server mit statischen Headern, verschlüsselt gespeichert</w:t>
            </w:r>
          </w:p>
        </w:tc>
        <w:tc>
          <w:tcPr>
            <w:tcW w:w="1560" w:type="dxa"/>
          </w:tcPr>
          <w:p>
            <w:pPr/>
            <w:r>
              <w:t xml:space="preserve">OAuth-Flow für MCP, zentrale Admin-Server</w:t>
            </w:r>
          </w:p>
        </w:tc>
        <w:tc>
          <w:tcPr>
            <w:tcW w:w="1560" w:type="dxa"/>
          </w:tcPr>
          <w:p>
            <w:pPr/>
            <w:r>
              <w:t xml:space="preserve">Deckt interne Server mit Token ab; OAuth und zentrale Server in Roadmap 1.3</w:t>
            </w:r>
          </w:p>
        </w:tc>
        <w:tc>
          <w:tcPr>
            <w:tcW w:w="1560" w:type="dxa"/>
          </w:tcPr>
          <w:p>
            <w:pPr/>
            <w:r>
              <w:t xml:space="preserve">Vorläufig</w:t>
            </w:r>
          </w:p>
        </w:tc>
      </w:tr>
      <w:tr>
        <w:tc>
          <w:tcPr>
            <w:tcW w:w="1560" w:type="dxa"/>
          </w:tcPr>
          <w:p>
            <w:pPr/>
            <w:r>
              <w:t xml:space="preserve">11</w:t>
            </w:r>
          </w:p>
        </w:tc>
        <w:tc>
          <w:tcPr>
            <w:tcW w:w="1560" w:type="dxa"/>
          </w:tcPr>
          <w:p>
            <w:pPr/>
            <w:r>
              <w:t xml:space="preserve">Ablage von Chat-Anhängen</w:t>
            </w:r>
          </w:p>
        </w:tc>
        <w:tc>
          <w:tcPr>
            <w:tcW w:w="1560" w:type="dxa"/>
          </w:tcPr>
          <w:p>
            <w:pPr/>
            <w:r>
              <w:t xml:space="preserve">In PostgreSQL (bytea), Original für den Besitzer herunterladbar</w:t>
            </w:r>
          </w:p>
        </w:tc>
        <w:tc>
          <w:tcPr>
            <w:tcW w:w="1560" w:type="dxa"/>
          </w:tcPr>
          <w:p>
            <w:pPr/>
            <w:r>
              <w:t xml:space="preserve">S3/MinIO, ReadWriteMany-Volume, nur Text wie in der Wissensdatenbank</w:t>
            </w:r>
          </w:p>
        </w:tc>
        <w:tc>
          <w:tcPr>
            <w:tcW w:w="1560" w:type="dxa"/>
          </w:tcPr>
          <w:p>
            <w:pPr/>
            <w:r>
              <w:t xml:space="preserve">Kein geteiltes Storage nötig, Backup deckt alles ab; S3 ab größerem Volumen</w:t>
            </w:r>
          </w:p>
        </w:tc>
        <w:tc>
          <w:tcPr>
            <w:tcW w:w="1560" w:type="dxa"/>
          </w:tcPr>
          <w:p>
            <w:pPr/>
            <w:r>
              <w:t xml:space="preserve">Vorläufig</w:t>
            </w:r>
          </w:p>
        </w:tc>
      </w:tr>
      <w:tr>
        <w:tc>
          <w:tcPr>
            <w:tcW w:w="1560" w:type="dxa"/>
          </w:tcPr>
          <w:p>
            <w:pPr/>
            <w:r>
              <w:t xml:space="preserve">12</w:t>
            </w:r>
          </w:p>
        </w:tc>
        <w:tc>
          <w:tcPr>
            <w:tcW w:w="1560" w:type="dxa"/>
          </w:tcPr>
          <w:p>
            <w:pPr/>
            <w:r>
              <w:t xml:space="preserve">Audit-Ablage</w:t>
            </w:r>
          </w:p>
        </w:tc>
        <w:tc>
          <w:tcPr>
            <w:tcW w:w="1560" w:type="dxa"/>
          </w:tcPr>
          <w:p>
            <w:pPr/>
            <w:r>
              <w:t xml:space="preserve">Datenbank + JSON auf stdout</w:t>
            </w:r>
          </w:p>
        </w:tc>
        <w:tc>
          <w:tcPr>
            <w:tcW w:w="1560" w:type="dxa"/>
          </w:tcPr>
          <w:p>
            <w:pPr/>
            <w:r>
              <w:t xml:space="preserve">Nur Log-Stack</w:t>
            </w:r>
          </w:p>
        </w:tc>
        <w:tc>
          <w:tcPr>
            <w:tcW w:w="1560" w:type="dxa"/>
          </w:tcPr>
          <w:p>
            <w:pPr/>
            <w:r>
              <w:t xml:space="preserve">Admin-Ansicht und Export im Portal plus revisionssichere Aufbewahrung im Log-Stack</w:t>
            </w:r>
          </w:p>
        </w:tc>
        <w:tc>
          <w:tcPr>
            <w:tcW w:w="1560" w:type="dxa"/>
          </w:tcPr>
          <w:p>
            <w:pPr/>
            <w:r>
              <w:t xml:space="preserve">Entschieden</w:t>
            </w:r>
          </w:p>
        </w:tc>
      </w:tr>
      <w:tr>
        <w:tc>
          <w:tcPr>
            <w:tcW w:w="1560" w:type="dxa"/>
          </w:tcPr>
          <w:p>
            <w:pPr/>
            <w:r>
              <w:t xml:space="preserve">13</w:t>
            </w:r>
          </w:p>
        </w:tc>
        <w:tc>
          <w:tcPr>
            <w:tcW w:w="1560" w:type="dxa"/>
          </w:tcPr>
          <w:p>
            <w:pPr/>
            <w:r>
              <w:t xml:space="preserve">Rechte in der Wissensdatenbank</w:t>
            </w:r>
          </w:p>
        </w:tc>
        <w:tc>
          <w:tcPr>
            <w:tcW w:w="1560" w:type="dxa"/>
          </w:tcPr>
          <w:p>
            <w:pPr/>
            <w:r>
              <w:t xml:space="preserve">Freigabe pro Sammlung für Gruppen</w:t>
            </w:r>
          </w:p>
        </w:tc>
        <w:tc>
          <w:tcPr>
            <w:tcW w:w="1560" w:type="dxa"/>
          </w:tcPr>
          <w:p>
            <w:pPr/>
            <w:r>
              <w:t xml:space="preserve">Rechte pro Dokument aus der Quelle spiegeln</w:t>
            </w:r>
          </w:p>
        </w:tc>
        <w:tc>
          <w:tcPr>
            <w:tcW w:w="1560" w:type="dxa"/>
          </w:tcPr>
          <w:p>
            <w:pPr/>
            <w:r>
              <w:t xml:space="preserve">Einfach und nachvollziehbar; Spiegelung der Quellrechte ist der teuerste Baustein und entscheidet über Build vs. Buy</w:t>
            </w:r>
          </w:p>
        </w:tc>
        <w:tc>
          <w:tcPr>
            <w:tcW w:w="1560" w:type="dxa"/>
          </w:tcPr>
          <w:p>
            <w:pPr/>
            <w:r>
              <w:t xml:space="preserve">Offen</w:t>
            </w:r>
          </w:p>
        </w:tc>
      </w:tr>
      <w:tr>
        <w:tc>
          <w:tcPr>
            <w:tcW w:w="1560" w:type="dxa"/>
          </w:tcPr>
          <w:p>
            <w:pPr/>
            <w:r>
              <w:t xml:space="preserve">14</w:t>
            </w:r>
          </w:p>
        </w:tc>
        <w:tc>
          <w:tcPr>
            <w:tcW w:w="1560" w:type="dxa"/>
          </w:tcPr>
          <w:p>
            <w:pPr/>
            <w:r>
              <w:t xml:space="preserve">Embeddings</w:t>
            </w:r>
          </w:p>
        </w:tc>
        <w:tc>
          <w:tcPr>
            <w:tcW w:w="1560" w:type="dxa"/>
          </w:tcPr>
          <w:p>
            <w:pPr/>
            <w:r>
              <w:t xml:space="preserve">Vom Admin wählbar: Bedrock, GitHub oder lokal (OpenAI-kompatibel)</w:t>
            </w:r>
          </w:p>
        </w:tc>
        <w:tc>
          <w:tcPr>
            <w:tcW w:w="1560" w:type="dxa"/>
          </w:tcPr>
          <w:p>
            <w:pPr/>
            <w:r>
              <w:t xml:space="preserve">Fest ein Anbieter, In-DB-ONNX (Oracle)</w:t>
            </w:r>
          </w:p>
        </w:tc>
        <w:tc>
          <w:tcPr>
            <w:tcW w:w="1560" w:type="dxa"/>
          </w:tcPr>
          <w:p>
            <w:pPr/>
            <w:r>
              <w:t xml:space="preserve">Flexibel; lokales Modell (z. B. BGE-M3) erfüllt „Daten bleiben im Haus“</w:t>
            </w:r>
          </w:p>
        </w:tc>
        <w:tc>
          <w:tcPr>
            <w:tcW w:w="1560" w:type="dxa"/>
          </w:tcPr>
          <w:p>
            <w:pPr/>
            <w:r>
              <w:t xml:space="preserve">Vorläufig</w:t>
            </w:r>
          </w:p>
        </w:tc>
      </w:tr>
      <w:tr>
        <w:tc>
          <w:tcPr>
            <w:tcW w:w="1560" w:type="dxa"/>
          </w:tcPr>
          <w:p>
            <w:pPr/>
            <w:r>
              <w:t xml:space="preserve">15</w:t>
            </w:r>
          </w:p>
        </w:tc>
        <w:tc>
          <w:tcPr>
            <w:tcW w:w="1560" w:type="dxa"/>
          </w:tcPr>
          <w:p>
            <w:pPr/>
            <w:r>
              <w:t xml:space="preserve">Suche</w:t>
            </w:r>
          </w:p>
        </w:tc>
        <w:tc>
          <w:tcPr>
            <w:tcW w:w="1560" w:type="dxa"/>
          </w:tcPr>
          <w:p>
            <w:pPr/>
            <w:r>
              <w:t xml:space="preserve">Hybrid: Vektor + Volltext, Reciprocal Rank Fusion</w:t>
            </w:r>
          </w:p>
        </w:tc>
        <w:tc>
          <w:tcPr>
            <w:tcW w:w="1560" w:type="dxa"/>
          </w:tcPr>
          <w:p>
            <w:pPr/>
            <w:r>
              <w:t xml:space="preserve">Nur Vektorsuche, zusätzlich Reranking-Modell</w:t>
            </w:r>
          </w:p>
        </w:tc>
        <w:tc>
          <w:tcPr>
            <w:tcW w:w="1560" w:type="dxa"/>
          </w:tcPr>
          <w:p>
            <w:pPr/>
            <w:r>
              <w:t xml:space="preserve">Findet auch Fehlercodes und Hostnamen; Reranking nachrüstbar, wenn Tests es nötig machen</w:t>
            </w:r>
          </w:p>
        </w:tc>
        <w:tc>
          <w:tcPr>
            <w:tcW w:w="1560" w:type="dxa"/>
          </w:tcPr>
          <w:p>
            <w:pPr/>
            <w:r>
              <w:t xml:space="preserve">Vorläufig</w:t>
            </w:r>
          </w:p>
        </w:tc>
      </w:tr>
      <w:tr>
        <w:tc>
          <w:tcPr>
            <w:tcW w:w="1560" w:type="dxa"/>
          </w:tcPr>
          <w:p>
            <w:pPr/>
            <w:r>
              <w:t xml:space="preserve">16</w:t>
            </w:r>
          </w:p>
        </w:tc>
        <w:tc>
          <w:tcPr>
            <w:tcW w:w="1560" w:type="dxa"/>
          </w:tcPr>
          <w:p>
            <w:pPr/>
            <w:r>
              <w:t xml:space="preserve">Wissensdatenbank für andere Tools</w:t>
            </w:r>
          </w:p>
        </w:tc>
        <w:tc>
          <w:tcPr>
            <w:tcW w:w="1560" w:type="dxa"/>
          </w:tcPr>
          <w:p>
            <w:pPr/>
            <w:r>
              <w:t xml:space="preserve">Eigener MCP-Endpunkt </w:t>
            </w:r>
            <w:r>
              <w:rPr>
                <w:rStyle w:val="CodeChar"/>
              </w:rPr>
              <w:t xml:space="preserve">/mcp</w:t>
            </w:r>
            <w:r>
              <w:t xml:space="preserve"> mit persönlichen Zugriffstokens</w:t>
            </w:r>
          </w:p>
        </w:tc>
        <w:tc>
          <w:tcPr>
            <w:tcW w:w="1560" w:type="dxa"/>
          </w:tcPr>
          <w:p>
            <w:pPr/>
            <w:r>
              <w:t xml:space="preserve">Nur im Portal nutzbar</w:t>
            </w:r>
          </w:p>
        </w:tc>
        <w:tc>
          <w:tcPr>
            <w:tcW w:w="1560" w:type="dxa"/>
          </w:tcPr>
          <w:p>
            <w:pPr/>
            <w:r>
              <w:t xml:space="preserve">Chat-Oberfläche austauschbar (Variante B), gleiche Rechte überall</w:t>
            </w:r>
          </w:p>
        </w:tc>
        <w:tc>
          <w:tcPr>
            <w:tcW w:w="1560" w:type="dxa"/>
          </w:tcPr>
          <w:p>
            <w:pPr/>
            <w:r>
              <w:t xml:space="preserve">Entschieden</w:t>
            </w:r>
          </w:p>
        </w:tc>
      </w:tr>
      <w:tr>
        <w:tc>
          <w:tcPr>
            <w:tcW w:w="1560" w:type="dxa"/>
          </w:tcPr>
          <w:p>
            <w:pPr/>
            <w:r>
              <w:t xml:space="preserve">17</w:t>
            </w:r>
          </w:p>
        </w:tc>
        <w:tc>
          <w:tcPr>
            <w:tcW w:w="1560" w:type="dxa"/>
          </w:tcPr>
          <w:p>
            <w:pPr/>
            <w:r>
              <w:t xml:space="preserve">Prompt-Volltext im Audit</w:t>
            </w:r>
          </w:p>
        </w:tc>
        <w:tc>
          <w:tcPr>
            <w:tcW w:w="1560" w:type="dxa"/>
          </w:tcPr>
          <w:p>
            <w:pPr/>
            <w:r>
              <w:t xml:space="preserve">Standard aus, per </w:t>
            </w:r>
            <w:r>
              <w:rPr>
                <w:rStyle w:val="CodeChar"/>
              </w:rPr>
              <w:t xml:space="preserve">AUDIT_LOG_PROMPTS</w:t>
            </w:r>
            <w:r>
              <w:t xml:space="preserve"> zuschaltbar</w:t>
            </w:r>
          </w:p>
        </w:tc>
        <w:tc>
          <w:tcPr>
            <w:tcW w:w="1560" w:type="dxa"/>
          </w:tcPr>
          <w:p>
            <w:pPr/>
            <w:r>
              <w:t xml:space="preserve">Immer protokollieren, nie protokollieren</w:t>
            </w:r>
          </w:p>
        </w:tc>
        <w:tc>
          <w:tcPr>
            <w:tcW w:w="1560" w:type="dxa"/>
          </w:tcPr>
          <w:p>
            <w:pPr/>
            <w:r>
              <w:t xml:space="preserve">Klärung mit Datenschutz und Betriebsrat ausstehend</w:t>
            </w:r>
          </w:p>
        </w:tc>
        <w:tc>
          <w:tcPr>
            <w:tcW w:w="1560" w:type="dxa"/>
          </w:tcPr>
          <w:p>
            <w:pPr/>
            <w:r>
              <w:t xml:space="preserve">Offen</w:t>
            </w:r>
          </w:p>
        </w:tc>
      </w:tr>
      <w:tr>
        <w:tc>
          <w:tcPr>
            <w:tcW w:w="1560" w:type="dxa"/>
          </w:tcPr>
          <w:p>
            <w:pPr/>
            <w:r>
              <w:t xml:space="preserve">18</w:t>
            </w:r>
          </w:p>
        </w:tc>
        <w:tc>
          <w:tcPr>
            <w:tcW w:w="1560" w:type="dxa"/>
          </w:tcPr>
          <w:p>
            <w:pPr/>
            <w:r>
              <w:t xml:space="preserve">Bedrock-Zugang</w:t>
            </w:r>
          </w:p>
        </w:tc>
        <w:tc>
          <w:tcPr>
            <w:tcW w:w="1560" w:type="dxa"/>
          </w:tcPr>
          <w:p>
            <w:pPr/>
            <w:r>
              <w:t xml:space="preserve">Statische Access Keys</w:t>
            </w:r>
          </w:p>
        </w:tc>
        <w:tc>
          <w:tcPr>
            <w:tcW w:w="1560" w:type="dxa"/>
          </w:tcPr>
          <w:p>
            <w:pPr/>
            <w:r>
              <w:t xml:space="preserve">IRSA / Pod Identity über die AWS-Credential-Chain</w:t>
            </w:r>
          </w:p>
        </w:tc>
        <w:tc>
          <w:tcPr>
            <w:tcW w:w="1560" w:type="dxa"/>
          </w:tcPr>
          <w:p>
            <w:pPr/>
            <w:r>
              <w:t xml:space="preserve">Abhängig von eurer AWS- und Cluster-Umgebung</w:t>
            </w:r>
          </w:p>
        </w:tc>
        <w:tc>
          <w:tcPr>
            <w:tcW w:w="1560" w:type="dxa"/>
          </w:tcPr>
          <w:p>
            <w:pPr/>
            <w:r>
              <w:t xml:space="preserve">Offen</w:t>
            </w:r>
          </w:p>
        </w:tc>
      </w:tr>
      <w:tr>
        <w:tc>
          <w:tcPr>
            <w:tcW w:w="1560" w:type="dxa"/>
          </w:tcPr>
          <w:p>
            <w:pPr/>
            <w:r>
              <w:t xml:space="preserve">19</w:t>
            </w:r>
          </w:p>
        </w:tc>
        <w:tc>
          <w:tcPr>
            <w:tcW w:w="1560" w:type="dxa"/>
          </w:tcPr>
          <w:p>
            <w:pPr/>
            <w:r>
              <w:t xml:space="preserve">Dokumente in der Wissensdatenbank</w:t>
            </w:r>
          </w:p>
        </w:tc>
        <w:tc>
          <w:tcPr>
            <w:tcW w:w="1560" w:type="dxa"/>
          </w:tcPr>
          <w:p>
            <w:pPr/>
            <w:r>
              <w:t xml:space="preserve">Nur der extrahierte Text wird übernommen; Treffer verlinken auf die Quelle, bei Uploads auf eine Textfassung</w:t>
            </w:r>
          </w:p>
        </w:tc>
        <w:tc>
          <w:tcPr>
            <w:tcW w:w="1560" w:type="dxa"/>
          </w:tcPr>
          <w:p>
            <w:pPr/>
            <w:r>
              <w:t xml:space="preserve">Originaldateien mitspeichern</w:t>
            </w:r>
          </w:p>
        </w:tc>
        <w:tc>
          <w:tcPr>
            <w:tcW w:w="1560" w:type="dxa"/>
          </w:tcPr>
          <w:p>
            <w:pPr/>
            <w:r>
              <w:t xml:space="preserve">Keine Kopien von Originalen im Portal; die Quelle bleibt führend; Neuindizierung ohne erneuten Download</w:t>
            </w:r>
          </w:p>
        </w:tc>
        <w:tc>
          <w:tcPr>
            <w:tcW w:w="1560" w:type="dxa"/>
          </w:tcPr>
          <w:p>
            <w:pPr/>
            <w:r>
              <w:t xml:space="preserve">Entschieden</w:t>
            </w:r>
          </w:p>
        </w:tc>
      </w:tr>
      <w:tr>
        <w:tc>
          <w:tcPr>
            <w:tcW w:w="1560" w:type="dxa"/>
          </w:tcPr>
          <w:p>
            <w:pPr/>
            <w:r>
              <w:t xml:space="preserve">20</w:t>
            </w:r>
          </w:p>
        </w:tc>
        <w:tc>
          <w:tcPr>
            <w:tcW w:w="1560" w:type="dxa"/>
          </w:tcPr>
          <w:p>
            <w:pPr/>
            <w:r>
              <w:t xml:space="preserve">Sprache der Oberfläche</w:t>
            </w:r>
          </w:p>
        </w:tc>
        <w:tc>
          <w:tcPr>
            <w:tcW w:w="1560" w:type="dxa"/>
          </w:tcPr>
          <w:p>
            <w:pPr/>
            <w:r>
              <w:t xml:space="preserve">Deutsch und Englisch, umschaltbar oben rechts und auf der Anmeldeseite; Standard ist die Browsersprache; Servermeldungen folgen der Auswahl</w:t>
            </w:r>
          </w:p>
        </w:tc>
        <w:tc>
          <w:tcPr>
            <w:tcW w:w="1560" w:type="dxa"/>
          </w:tcPr>
          <w:p>
            <w:pPr/>
            <w:r>
              <w:t xml:space="preserve">Nur Deutsch; vollwertiges i18n-Framework (i18next)</w:t>
            </w:r>
          </w:p>
        </w:tc>
        <w:tc>
          <w:tcPr>
            <w:tcW w:w="1560" w:type="dxa"/>
          </w:tcPr>
          <w:p>
            <w:pPr/>
            <w:r>
              <w:t xml:space="preserve">Gemischtsprachige Teams; schlankes Wörterbuch mit deutschen Quelltexten als Schlüssel, ein Prüfskript verhindert fehlende Übersetzungen</w:t>
            </w:r>
          </w:p>
        </w:tc>
        <w:tc>
          <w:tcPr>
            <w:tcW w:w="1560" w:type="dxa"/>
          </w:tcPr>
          <w:p>
            <w:pPr/>
            <w:r>
              <w:t xml:space="preserve">Entschieden</w:t>
            </w:r>
          </w:p>
        </w:tc>
      </w:tr>
    </w:tbl>
    <w:p>
      <w:pPr/>
      <w:r>
        <w:rPr>
          <w:b/>
        </w:rPr>
        <w:t xml:space="preserve">Nächste Entscheidungen:</w:t>
      </w:r>
      <w:r>
        <w:t xml:space="preserve"> #13 bestimmt #1 – zuerst klären, ob Dokumentrechte gespiegelt werden müssen. #17 mit Datenschutz und Betriebsrat, #18 mit dem Cloud-Team.</w:t>
      </w:r>
    </w:p>
    <w:p>
      <w:pPr>
        <w:pStyle w:val="Heading2"/>
      </w:pPr>
      <w:r>
        <w:t xml:space="preserve">Architekturüberblick</w:t>
      </w:r>
    </w:p>
    <w:p>
      <w:pPr/>
      <w:r>
        <w:t xml:space="preserve">Ein einziger, zustandsloser Container liefert API und Web-Oberfläche aus; PostgreSQL ist die einzige Abhängigkeit. Dadurch skaliert das Portal horizontal über Replicas, ohne Sticky Sessions oder gemeinsames Dateisystem.</w:t>
      </w:r>
    </w:p>
    <w:p>
      <w:pPr>
        <w:pStyle w:val="Code"/>
      </w:pPr>
      <w:bookmarkStart w:id="1" w:name="bongo_lang_mermaid_1"/>
      <w:bookmarkEnd w:id="1"/>
      <w:r>
        <w:t xml:space="preserve">flowchart LR</w:t>
        <w:br/>
        <w:t xml:space="preserve">  B[Browser] --&gt;|HTTPS| I[Ingress]</w:t>
        <w:br/>
        <w:t xml:space="preserve">  I --&gt; A[ai-portal Pods&lt;br/&gt;API + Web-UI]</w:t>
        <w:br/>
        <w:t xml:space="preserve">  A --&gt; P[(PostgreSQL)]</w:t>
        <w:br/>
        <w:t xml:space="preserve">  A --&gt; L[LDAP / AD]</w:t>
        <w:br/>
        <w:t xml:space="preserve">  A --&gt; O[OIDC IdP&lt;br/&gt;Azure AD]</w:t>
        <w:br/>
        <w:t xml:space="preserve">  A --&gt; K[KI-Anbieter&lt;br/&gt;Claude, Bedrock, GitHub,&lt;br/&gt;OpenAI-kompatibel]</w:t>
        <w:br/>
        <w:t xml:space="preserve">  A --&gt; M[Remote-MCP-Server&lt;br/&gt;pro Benutzer]</w:t>
        <w:br/>
        <w:t xml:space="preserve">  A --&gt;|JSON stdout| G[Log-Stack&lt;br/&gt;Loki / ELK]</w:t>
      </w:r>
    </w:p>
    <w:p>
      <w:pPr/>
      <w:r>
        <w:rPr>
          <w:b/>
        </w:rPr>
        <w:t xml:space="preserve">Ablauf einer Chat-Anfrage:</w:t>
      </w:r>
    </w:p>
    <w:p>
      <w:pPr>
        <w:pStyle w:val="ListParagraph"/>
        <w:numPr>
          <w:ilvl w:val="0"/>
          <w:numId w:val="3"/>
        </w:numPr>
      </w:pPr>
      <w:r>
        <w:t xml:space="preserve">Browser sendet Nachricht, Modell-ID und Anhang-IDs an </w:t>
      </w:r>
      <w:r>
        <w:rPr>
          <w:rStyle w:val="CodeChar"/>
        </w:rPr>
        <w:t xml:space="preserve">POST /api/chats/:id/messages</w:t>
      </w:r>
      <w:r>
        <w:t xml:space="preserve">.</w:t>
      </w:r>
    </w:p>
    <w:p>
      <w:pPr>
        <w:pStyle w:val="ListParagraph"/>
        <w:numPr>
          <w:ilvl w:val="0"/>
          <w:numId w:val="3"/>
        </w:numPr>
      </w:pPr>
      <w:r>
        <w:t xml:space="preserve">Server prüft Sitzung und Modellfreigabe, lädt Verlauf und extrahierten Text der Anhänge.</w:t>
      </w:r>
    </w:p>
    <w:p>
      <w:pPr>
        <w:pStyle w:val="ListParagraph"/>
        <w:numPr>
          <w:ilvl w:val="0"/>
          <w:numId w:val="3"/>
        </w:numPr>
      </w:pPr>
      <w:r>
        <w:t xml:space="preserve">Server verbindet sich mit den aktiven MCP-Servern des Benutzers und registriert deren Tools.</w:t>
      </w:r>
    </w:p>
    <w:p>
      <w:pPr>
        <w:pStyle w:val="ListParagraph"/>
        <w:numPr>
          <w:ilvl w:val="0"/>
          <w:numId w:val="3"/>
        </w:numPr>
      </w:pPr>
      <w:r>
        <w:t xml:space="preserve">Anfrage geht per Vercel AI SDK an den Anbieter; Tool-Aufrufe laufen serverseitig in einer Schleife (max. 8 Schritte).</w:t>
      </w:r>
    </w:p>
    <w:p>
      <w:pPr>
        <w:pStyle w:val="ListParagraph"/>
        <w:numPr>
          <w:ilvl w:val="0"/>
          <w:numId w:val="3"/>
        </w:numPr>
      </w:pPr>
      <w:r>
        <w:t xml:space="preserve">Antwort streamt als NDJSON zurück; Text, Tool-Aufrufe und Token-Verbrauch werden gespeichert und auditiert.</w:t>
      </w:r>
    </w:p>
    <w:p>
      <w:pPr/>
      <w:r>
        <w:t xml:space="preserve">API-Schlüssel der Anbieter und MCP-Zugangsdaten verlassen den Server nie; der Browser sieht nur Modell-IDs.</w:t>
      </w:r>
    </w:p>
    <w:p>
      <w:pPr>
        <w:pStyle w:val="Heading2"/>
      </w:pPr>
      <w:r>
        <w:t xml:space="preserve">Tech-Stack</w:t>
      </w:r>
    </w:p>
    <w:p>
      <w:pPr/>
      <w:r>
        <w:t xml:space="preserve">Durchgängig TypeScript auf Node.js 22 – das offizielle MCP-SDK und das Vercel AI SDK sind dort am ausgereiftesten, und Frontend und Backend teilen eine Sprache. Statt NestJS nutzt das Grundgerüst schlankes Express 5 mit Zod-Validierung: weniger Magie, schnellerer Einstieg, bei Bedarf später migrierbar.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Schicht</w:t>
            </w:r>
          </w:p>
        </w:tc>
        <w:tc>
          <w:tcPr>
            <w:tcW w:w="3120" w:type="dxa"/>
            <w:shd w:val="clear" w:color="auto" w:fill="F2F2F2"/>
          </w:tcPr>
          <w:p>
            <w:pPr/>
            <w:r>
              <w:t xml:space="preserve">Wahl</w:t>
            </w:r>
          </w:p>
        </w:tc>
        <w:tc>
          <w:tcPr>
            <w:tcW w:w="3120" w:type="dxa"/>
            <w:shd w:val="clear" w:color="auto" w:fill="F2F2F2"/>
          </w:tcPr>
          <w:p>
            <w:pPr/>
            <w:r>
              <w:t xml:space="preserve">Zweck</w:t>
            </w:r>
          </w:p>
        </w:tc>
      </w:tr>
      <w:tr>
        <w:tc>
          <w:tcPr>
            <w:tcW w:w="3120" w:type="dxa"/>
          </w:tcPr>
          <w:p>
            <w:pPr/>
            <w:r>
              <w:t xml:space="preserve">Backend</w:t>
            </w:r>
          </w:p>
        </w:tc>
        <w:tc>
          <w:tcPr>
            <w:tcW w:w="3120" w:type="dxa"/>
          </w:tcPr>
          <w:p>
            <w:pPr/>
            <w:r>
              <w:t xml:space="preserve">Node.js 22, Express 5, Zod</w:t>
            </w:r>
          </w:p>
        </w:tc>
        <w:tc>
          <w:tcPr>
            <w:tcW w:w="3120" w:type="dxa"/>
          </w:tcPr>
          <w:p>
            <w:pPr/>
            <w:r>
              <w:t xml:space="preserve">REST-API, NDJSON-Streaming, Validierung</w:t>
            </w:r>
          </w:p>
        </w:tc>
      </w:tr>
      <w:tr>
        <w:tc>
          <w:tcPr>
            <w:tcW w:w="3120" w:type="dxa"/>
          </w:tcPr>
          <w:p>
            <w:pPr/>
            <w:r>
              <w:t xml:space="preserve">Datenbank</w:t>
            </w:r>
          </w:p>
        </w:tc>
        <w:tc>
          <w:tcPr>
            <w:tcW w:w="3120" w:type="dxa"/>
          </w:tcPr>
          <w:p>
            <w:pPr/>
            <w:r>
              <w:t xml:space="preserve">PostgreSQL 16, Drizzle ORM</w:t>
            </w:r>
          </w:p>
        </w:tc>
        <w:tc>
          <w:tcPr>
            <w:tcW w:w="3120" w:type="dxa"/>
          </w:tcPr>
          <w:p>
            <w:pPr/>
            <w:r>
              <w:t xml:space="preserve">Benutzer, Chats, Dateien, Audit; SQL-Migrationen beim Start</w:t>
            </w:r>
          </w:p>
        </w:tc>
      </w:tr>
      <w:tr>
        <w:tc>
          <w:tcPr>
            <w:tcW w:w="3120" w:type="dxa"/>
          </w:tcPr>
          <w:p>
            <w:pPr/>
            <w:r>
              <w:t xml:space="preserve">KI-Anbindung</w:t>
            </w:r>
          </w:p>
        </w:tc>
        <w:tc>
          <w:tcPr>
            <w:tcW w:w="3120" w:type="dxa"/>
          </w:tcPr>
          <w:p>
            <w:pPr/>
            <w:r>
              <w:t xml:space="preserve">Vercel AI SDK 7 (</w:t>
            </w:r>
            <w:r>
              <w:rPr>
                <w:rStyle w:val="CodeChar"/>
              </w:rPr>
              <w:t xml:space="preserve">ai</w:t>
            </w:r>
            <w:r>
              <w:t xml:space="preserve">, </w:t>
            </w:r>
            <w:r>
              <w:rPr>
                <w:rStyle w:val="CodeChar"/>
              </w:rPr>
              <w:t xml:space="preserve">@ai-sdk/anthropic</w:t>
            </w:r>
            <w:r>
              <w:t xml:space="preserve">, </w:t>
            </w:r>
            <w:r>
              <w:rPr>
                <w:rStyle w:val="CodeChar"/>
              </w:rPr>
              <w:t xml:space="preserve">@ai-sdk/amazon-bedrock</w:t>
            </w:r>
            <w:r>
              <w:t xml:space="preserve">, </w:t>
            </w:r>
            <w:r>
              <w:rPr>
                <w:rStyle w:val="CodeChar"/>
              </w:rPr>
              <w:t xml:space="preserve">@ai-sdk/openai-compatible</w:t>
            </w:r>
            <w:r>
              <w:t xml:space="preserve">)</w:t>
            </w:r>
          </w:p>
        </w:tc>
        <w:tc>
          <w:tcPr>
            <w:tcW w:w="3120" w:type="dxa"/>
          </w:tcPr>
          <w:p>
            <w:pPr/>
            <w:r>
              <w:t xml:space="preserve">Einheitliche Schnittstelle, Streaming, Tool-Loop</w:t>
            </w:r>
          </w:p>
        </w:tc>
      </w:tr>
      <w:tr>
        <w:tc>
          <w:tcPr>
            <w:tcW w:w="3120" w:type="dxa"/>
          </w:tcPr>
          <w:p>
            <w:pPr/>
            <w:r>
              <w:t xml:space="preserve">MCP</w:t>
            </w:r>
          </w:p>
        </w:tc>
        <w:tc>
          <w:tcPr>
            <w:tcW w:w="3120" w:type="dxa"/>
          </w:tcPr>
          <w:p>
            <w:pPr/>
            <w:r>
              <w:rPr>
                <w:rStyle w:val="CodeChar"/>
              </w:rPr>
              <w:t xml:space="preserve">@modelcontextprotocol/sdk</w:t>
            </w:r>
            <w:r>
              <w:t xml:space="preserve"> 1.x (Client)</w:t>
            </w:r>
          </w:p>
        </w:tc>
        <w:tc>
          <w:tcPr>
            <w:tcW w:w="3120" w:type="dxa"/>
          </w:tcPr>
          <w:p>
            <w:pPr/>
            <w:r>
              <w:t xml:space="preserve">Streamable HTTP und SSE zu Remote-MCP-Servern</w:t>
            </w:r>
          </w:p>
        </w:tc>
      </w:tr>
      <w:tr>
        <w:tc>
          <w:tcPr>
            <w:tcW w:w="3120" w:type="dxa"/>
          </w:tcPr>
          <w:p>
            <w:pPr/>
            <w:r>
              <w:t xml:space="preserve">Auth</w:t>
            </w:r>
          </w:p>
        </w:tc>
        <w:tc>
          <w:tcPr>
            <w:tcW w:w="3120" w:type="dxa"/>
          </w:tcPr>
          <w:p>
            <w:pPr/>
            <w:r>
              <w:rPr>
                <w:rStyle w:val="CodeChar"/>
              </w:rPr>
              <w:t xml:space="preserve">ldapts</w:t>
            </w:r>
            <w:r>
              <w:t xml:space="preserve">, </w:t>
            </w:r>
            <w:r>
              <w:rPr>
                <w:rStyle w:val="CodeChar"/>
              </w:rPr>
              <w:t xml:space="preserve">openid-client</w:t>
            </w:r>
            <w:r>
              <w:t xml:space="preserve"> 5, </w:t>
            </w:r>
            <w:r>
              <w:rPr>
                <w:rStyle w:val="CodeChar"/>
              </w:rPr>
              <w:t xml:space="preserve">jsonwebtoken</w:t>
            </w:r>
            <w:r>
              <w:t xml:space="preserve">, </w:t>
            </w:r>
            <w:r>
              <w:rPr>
                <w:rStyle w:val="CodeChar"/>
              </w:rPr>
              <w:t xml:space="preserve">bcryptjs</w:t>
            </w:r>
          </w:p>
        </w:tc>
        <w:tc>
          <w:tcPr>
            <w:tcW w:w="3120" w:type="dxa"/>
          </w:tcPr>
          <w:p>
            <w:pPr/>
            <w:r>
              <w:t xml:space="preserve">LDAP/AD, OIDC mit PKCE, Session-Cookie, Passwort-Hashes</w:t>
            </w:r>
          </w:p>
        </w:tc>
      </w:tr>
      <w:tr>
        <w:tc>
          <w:tcPr>
            <w:tcW w:w="3120" w:type="dxa"/>
          </w:tcPr>
          <w:p>
            <w:pPr/>
            <w:r>
              <w:t xml:space="preserve">Uploads</w:t>
            </w:r>
          </w:p>
        </w:tc>
        <w:tc>
          <w:tcPr>
            <w:tcW w:w="3120" w:type="dxa"/>
          </w:tcPr>
          <w:p>
            <w:pPr/>
            <w:r>
              <w:rPr>
                <w:rStyle w:val="CodeChar"/>
              </w:rPr>
              <w:t xml:space="preserve">multer</w:t>
            </w:r>
            <w:r>
              <w:t xml:space="preserve">, </w:t>
            </w:r>
            <w:r>
              <w:rPr>
                <w:rStyle w:val="CodeChar"/>
              </w:rPr>
              <w:t xml:space="preserve">unpdf</w:t>
            </w:r>
            <w:r>
              <w:t xml:space="preserve">, </w:t>
            </w:r>
            <w:r>
              <w:rPr>
                <w:rStyle w:val="CodeChar"/>
              </w:rPr>
              <w:t xml:space="preserve">mammoth</w:t>
            </w:r>
          </w:p>
        </w:tc>
        <w:tc>
          <w:tcPr>
            <w:tcW w:w="3120" w:type="dxa"/>
          </w:tcPr>
          <w:p>
            <w:pPr/>
            <w:r>
              <w:t xml:space="preserve">Upload, Textextraktion aus PDF und DOCX</w:t>
            </w:r>
          </w:p>
        </w:tc>
      </w:tr>
      <w:tr>
        <w:tc>
          <w:tcPr>
            <w:tcW w:w="3120" w:type="dxa"/>
          </w:tcPr>
          <w:p>
            <w:pPr/>
            <w:r>
              <w:t xml:space="preserve">Logging</w:t>
            </w:r>
          </w:p>
        </w:tc>
        <w:tc>
          <w:tcPr>
            <w:tcW w:w="3120" w:type="dxa"/>
          </w:tcPr>
          <w:p>
            <w:pPr/>
            <w:r>
              <w:rPr>
                <w:rStyle w:val="CodeChar"/>
              </w:rPr>
              <w:t xml:space="preserve">pino</w:t>
            </w:r>
          </w:p>
        </w:tc>
        <w:tc>
          <w:tcPr>
            <w:tcW w:w="3120" w:type="dxa"/>
          </w:tcPr>
          <w:p>
            <w:pPr/>
            <w:r>
              <w:t xml:space="preserve">Strukturiertes JSON auf stdout</w:t>
            </w:r>
          </w:p>
        </w:tc>
      </w:tr>
      <w:tr>
        <w:tc>
          <w:tcPr>
            <w:tcW w:w="3120" w:type="dxa"/>
          </w:tcPr>
          <w:p>
            <w:pPr/>
            <w:r>
              <w:t xml:space="preserve">Frontend</w:t>
            </w:r>
          </w:p>
        </w:tc>
        <w:tc>
          <w:tcPr>
            <w:tcW w:w="3120" w:type="dxa"/>
          </w:tcPr>
          <w:p>
            <w:pPr/>
            <w:r>
              <w:t xml:space="preserve">React 19, Vite, </w:t>
            </w:r>
            <w:r>
              <w:rPr>
                <w:rStyle w:val="CodeChar"/>
              </w:rPr>
              <w:t xml:space="preserve">react-markdown</w:t>
            </w:r>
          </w:p>
        </w:tc>
        <w:tc>
          <w:tcPr>
            <w:tcW w:w="3120" w:type="dxa"/>
          </w:tcPr>
          <w:p>
            <w:pPr/>
            <w:r>
              <w:t xml:space="preserve">Minimale Chat-UI, Markdown mit Tabellen und Code</w:t>
            </w:r>
          </w:p>
        </w:tc>
      </w:tr>
      <w:tr>
        <w:tc>
          <w:tcPr>
            <w:tcW w:w="3120" w:type="dxa"/>
          </w:tcPr>
          <w:p>
            <w:pPr/>
            <w:r>
              <w:t xml:space="preserve">Betrieb</w:t>
            </w:r>
          </w:p>
        </w:tc>
        <w:tc>
          <w:tcPr>
            <w:tcW w:w="3120" w:type="dxa"/>
          </w:tcPr>
          <w:p>
            <w:pPr/>
            <w:r>
              <w:t xml:space="preserve">Docker (Multi-Stage, distroless-nah), Kubernetes</w:t>
            </w:r>
          </w:p>
        </w:tc>
        <w:tc>
          <w:tcPr>
            <w:tcW w:w="3120" w:type="dxa"/>
          </w:tcPr>
          <w:p>
            <w:pPr/>
            <w:r>
              <w:t xml:space="preserve">Ein Image, Health-Probes, horizontale Skalierung</w:t>
            </w:r>
          </w:p>
        </w:tc>
      </w:tr>
    </w:tbl>
    <w:p>
      <w:pPr>
        <w:pStyle w:val="Heading2"/>
      </w:pPr>
      <w:r>
        <w:t xml:space="preserve">Datenmodell</w:t>
      </w:r>
    </w:p>
    <w:p>
      <w:pPr/>
      <w:r>
        <w:t xml:space="preserve">14 Tabellen in PostgreSQL; Geheimnisse liegen nur AES-256-GCM-verschlüsselt in der Datenbank, der Schlüssel kommt aus einem Kubernetes-Secret.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Tabelle</w:t>
            </w:r>
          </w:p>
        </w:tc>
        <w:tc>
          <w:tcPr>
            <w:tcW w:w="3120" w:type="dxa"/>
            <w:shd w:val="clear" w:color="auto" w:fill="F2F2F2"/>
          </w:tcPr>
          <w:p>
            <w:pPr/>
            <w:r>
              <w:t xml:space="preserve">Inhalt</w:t>
            </w:r>
          </w:p>
        </w:tc>
        <w:tc>
          <w:tcPr>
            <w:tcW w:w="3120" w:type="dxa"/>
            <w:shd w:val="clear" w:color="auto" w:fill="F2F2F2"/>
          </w:tcPr>
          <w:p>
            <w:pPr/>
            <w:r>
              <w:t xml:space="preserve">Wichtige Felder</w:t>
            </w:r>
          </w:p>
        </w:tc>
      </w:tr>
      <w:tr>
        <w:tc>
          <w:tcPr>
            <w:tcW w:w="3120" w:type="dxa"/>
          </w:tcPr>
          <w:p>
            <w:pPr/>
            <w:r>
              <w:rPr>
                <w:rStyle w:val="CodeChar"/>
              </w:rPr>
              <w:t xml:space="preserve">users</w:t>
            </w:r>
          </w:p>
        </w:tc>
        <w:tc>
          <w:tcPr>
            <w:tcW w:w="3120" w:type="dxa"/>
          </w:tcPr>
          <w:p>
            <w:pPr/>
            <w:r>
              <w:t xml:space="preserve">Alle Benutzer, egal welche Anmeldequelle</w:t>
            </w:r>
          </w:p>
        </w:tc>
        <w:tc>
          <w:tcPr>
            <w:tcW w:w="3120" w:type="dxa"/>
          </w:tcPr>
          <w:p>
            <w:pPr/>
            <w:r>
              <w:rPr>
                <w:rStyle w:val="CodeChar"/>
              </w:rPr>
              <w:t xml:space="preserve">username</w:t>
            </w:r>
            <w:r>
              <w:t xml:space="preserve"> (eindeutig), </w:t>
            </w:r>
            <w:r>
              <w:rPr>
                <w:rStyle w:val="CodeChar"/>
              </w:rPr>
              <w:t xml:space="preserve">auth_source</w:t>
            </w:r>
            <w:r>
              <w:t xml:space="preserve"> (local/ldap/oidc), </w:t>
            </w:r>
            <w:r>
              <w:rPr>
                <w:rStyle w:val="CodeChar"/>
              </w:rPr>
              <w:t xml:space="preserve">external_id</w:t>
            </w:r>
            <w:r>
              <w:t xml:space="preserve"> (DN bzw. OIDC </w:t>
            </w:r>
            <w:r>
              <w:rPr>
                <w:rStyle w:val="CodeChar"/>
              </w:rPr>
              <w:t xml:space="preserve">oid</w:t>
            </w:r>
            <w:r>
              <w:t xml:space="preserve">/</w:t>
            </w:r>
            <w:r>
              <w:rPr>
                <w:rStyle w:val="CodeChar"/>
              </w:rPr>
              <w:t xml:space="preserve">sub</w:t>
            </w:r>
            <w:r>
              <w:t xml:space="preserve">), </w:t>
            </w:r>
            <w:r>
              <w:rPr>
                <w:rStyle w:val="CodeChar"/>
              </w:rPr>
              <w:t xml:space="preserve">role</w:t>
            </w:r>
            <w:r>
              <w:t xml:space="preserve">, </w:t>
            </w:r>
            <w:r>
              <w:rPr>
                <w:rStyle w:val="CodeChar"/>
              </w:rPr>
              <w:t xml:space="preserve">active</w:t>
            </w:r>
            <w:r>
              <w:t xml:space="preserve">, </w:t>
            </w:r>
            <w:r>
              <w:rPr>
                <w:rStyle w:val="CodeChar"/>
              </w:rPr>
              <w:t xml:space="preserve">password_hash</w:t>
            </w:r>
            <w:r>
              <w:t xml:space="preserve"> (nur lokal)</w:t>
            </w:r>
          </w:p>
        </w:tc>
      </w:tr>
      <w:tr>
        <w:tc>
          <w:tcPr>
            <w:tcW w:w="3120" w:type="dxa"/>
          </w:tcPr>
          <w:p>
            <w:pPr/>
            <w:r>
              <w:rPr>
                <w:rStyle w:val="CodeChar"/>
              </w:rPr>
              <w:t xml:space="preserve">providers</w:t>
            </w:r>
          </w:p>
        </w:tc>
        <w:tc>
          <w:tcPr>
            <w:tcW w:w="3120" w:type="dxa"/>
          </w:tcPr>
          <w:p>
            <w:pPr/>
            <w:r>
              <w:t xml:space="preserve">KI-Anbieter, zentral vom Admin gepflegt</w:t>
            </w:r>
          </w:p>
        </w:tc>
        <w:tc>
          <w:tcPr>
            <w:tcW w:w="3120" w:type="dxa"/>
          </w:tcPr>
          <w:p>
            <w:pPr/>
            <w:r>
              <w:rPr>
                <w:rStyle w:val="CodeChar"/>
              </w:rPr>
              <w:t xml:space="preserve">type</w:t>
            </w:r>
            <w:r>
              <w:t xml:space="preserve"> (anthropic/bedrock/github/openai_compatible), </w:t>
            </w:r>
            <w:r>
              <w:rPr>
                <w:rStyle w:val="CodeChar"/>
              </w:rPr>
              <w:t xml:space="preserve">base_url</w:t>
            </w:r>
            <w:r>
              <w:t xml:space="preserve">, </w:t>
            </w:r>
            <w:r>
              <w:rPr>
                <w:rStyle w:val="CodeChar"/>
              </w:rPr>
              <w:t xml:space="preserve">region</w:t>
            </w:r>
            <w:r>
              <w:t xml:space="preserve">, </w:t>
            </w:r>
            <w:r>
              <w:rPr>
                <w:rStyle w:val="CodeChar"/>
              </w:rPr>
              <w:t xml:space="preserve">options</w:t>
            </w:r>
            <w:r>
              <w:t xml:space="preserve">, </w:t>
            </w:r>
            <w:r>
              <w:rPr>
                <w:rStyle w:val="CodeChar"/>
              </w:rPr>
              <w:t xml:space="preserve">secret_enc</w:t>
            </w:r>
          </w:p>
        </w:tc>
      </w:tr>
      <w:tr>
        <w:tc>
          <w:tcPr>
            <w:tcW w:w="3120" w:type="dxa"/>
          </w:tcPr>
          <w:p>
            <w:pPr/>
            <w:r>
              <w:rPr>
                <w:rStyle w:val="CodeChar"/>
              </w:rPr>
              <w:t xml:space="preserve">models</w:t>
            </w:r>
          </w:p>
        </w:tc>
        <w:tc>
          <w:tcPr>
            <w:tcW w:w="3120" w:type="dxa"/>
          </w:tcPr>
          <w:p>
            <w:pPr/>
            <w:r>
              <w:t xml:space="preserve">Vordefinierte Modellauswahl</w:t>
            </w:r>
          </w:p>
        </w:tc>
        <w:tc>
          <w:tcPr>
            <w:tcW w:w="3120" w:type="dxa"/>
          </w:tcPr>
          <w:p>
            <w:pPr/>
            <w:r>
              <w:rPr>
                <w:rStyle w:val="CodeChar"/>
              </w:rPr>
              <w:t xml:space="preserve">provider_id</w:t>
            </w:r>
            <w:r>
              <w:t xml:space="preserve">, </w:t>
            </w:r>
            <w:r>
              <w:rPr>
                <w:rStyle w:val="CodeChar"/>
              </w:rPr>
              <w:t xml:space="preserve">model_id</w:t>
            </w:r>
            <w:r>
              <w:t xml:space="preserve">, </w:t>
            </w:r>
            <w:r>
              <w:rPr>
                <w:rStyle w:val="CodeChar"/>
              </w:rPr>
              <w:t xml:space="preserve">display_name</w:t>
            </w:r>
            <w:r>
              <w:t xml:space="preserve">, </w:t>
            </w:r>
            <w:r>
              <w:rPr>
                <w:rStyle w:val="CodeChar"/>
              </w:rPr>
              <w:t xml:space="preserve">supports_images</w:t>
            </w:r>
            <w:r>
              <w:t xml:space="preserve">, </w:t>
            </w:r>
            <w:r>
              <w:rPr>
                <w:rStyle w:val="CodeChar"/>
              </w:rPr>
              <w:t xml:space="preserve">enabled</w:t>
            </w:r>
            <w:r>
              <w:t xml:space="preserve">, </w:t>
            </w:r>
            <w:r>
              <w:rPr>
                <w:rStyle w:val="CodeChar"/>
              </w:rPr>
              <w:t xml:space="preserve">is_default</w:t>
            </w:r>
          </w:p>
        </w:tc>
      </w:tr>
      <w:tr>
        <w:tc>
          <w:tcPr>
            <w:tcW w:w="3120" w:type="dxa"/>
          </w:tcPr>
          <w:p>
            <w:pPr/>
            <w:r>
              <w:rPr>
                <w:rStyle w:val="CodeChar"/>
              </w:rPr>
              <w:t xml:space="preserve">mcp_servers</w:t>
            </w:r>
          </w:p>
        </w:tc>
        <w:tc>
          <w:tcPr>
            <w:tcW w:w="3120" w:type="dxa"/>
          </w:tcPr>
          <w:p>
            <w:pPr/>
            <w:r>
              <w:t xml:space="preserve">MCP-Server je Benutzer</w:t>
            </w:r>
          </w:p>
        </w:tc>
        <w:tc>
          <w:tcPr>
            <w:tcW w:w="3120" w:type="dxa"/>
          </w:tcPr>
          <w:p>
            <w:pPr/>
            <w:r>
              <w:rPr>
                <w:rStyle w:val="CodeChar"/>
              </w:rPr>
              <w:t xml:space="preserve">user_id</w:t>
            </w:r>
            <w:r>
              <w:t xml:space="preserve">, </w:t>
            </w:r>
            <w:r>
              <w:rPr>
                <w:rStyle w:val="CodeChar"/>
              </w:rPr>
              <w:t xml:space="preserve">url</w:t>
            </w:r>
            <w:r>
              <w:t xml:space="preserve">, </w:t>
            </w:r>
            <w:r>
              <w:rPr>
                <w:rStyle w:val="CodeChar"/>
              </w:rPr>
              <w:t xml:space="preserve">transport</w:t>
            </w:r>
            <w:r>
              <w:t xml:space="preserve">, </w:t>
            </w:r>
            <w:r>
              <w:rPr>
                <w:rStyle w:val="CodeChar"/>
              </w:rPr>
              <w:t xml:space="preserve">headers_enc</w:t>
            </w:r>
            <w:r>
              <w:t xml:space="preserve">, </w:t>
            </w:r>
            <w:r>
              <w:rPr>
                <w:rStyle w:val="CodeChar"/>
              </w:rPr>
              <w:t xml:space="preserve">last_status</w:t>
            </w:r>
            <w:r>
              <w:t xml:space="preserve">, </w:t>
            </w:r>
            <w:r>
              <w:rPr>
                <w:rStyle w:val="CodeChar"/>
              </w:rPr>
              <w:t xml:space="preserve">tool_count</w:t>
            </w:r>
          </w:p>
        </w:tc>
      </w:tr>
      <w:tr>
        <w:tc>
          <w:tcPr>
            <w:tcW w:w="3120" w:type="dxa"/>
          </w:tcPr>
          <w:p>
            <w:pPr/>
            <w:r>
              <w:rPr>
                <w:rStyle w:val="CodeChar"/>
              </w:rPr>
              <w:t xml:space="preserve">chats</w:t>
            </w:r>
          </w:p>
        </w:tc>
        <w:tc>
          <w:tcPr>
            <w:tcW w:w="3120" w:type="dxa"/>
          </w:tcPr>
          <w:p>
            <w:pPr/>
            <w:r>
              <w:t xml:space="preserve">Unterhaltungen</w:t>
            </w:r>
          </w:p>
        </w:tc>
        <w:tc>
          <w:tcPr>
            <w:tcW w:w="3120" w:type="dxa"/>
          </w:tcPr>
          <w:p>
            <w:pPr/>
            <w:r>
              <w:rPr>
                <w:rStyle w:val="CodeChar"/>
              </w:rPr>
              <w:t xml:space="preserve">user_id</w:t>
            </w:r>
            <w:r>
              <w:t xml:space="preserve">, </w:t>
            </w:r>
            <w:r>
              <w:rPr>
                <w:rStyle w:val="CodeChar"/>
              </w:rPr>
              <w:t xml:space="preserve">title</w:t>
            </w:r>
            <w:r>
              <w:t xml:space="preserve">, </w:t>
            </w:r>
            <w:r>
              <w:rPr>
                <w:rStyle w:val="CodeChar"/>
              </w:rPr>
              <w:t xml:space="preserve">model_id</w:t>
            </w:r>
          </w:p>
        </w:tc>
      </w:tr>
      <w:tr>
        <w:tc>
          <w:tcPr>
            <w:tcW w:w="3120" w:type="dxa"/>
          </w:tcPr>
          <w:p>
            <w:pPr/>
            <w:r>
              <w:rPr>
                <w:rStyle w:val="CodeChar"/>
              </w:rPr>
              <w:t xml:space="preserve">messages</w:t>
            </w:r>
          </w:p>
        </w:tc>
        <w:tc>
          <w:tcPr>
            <w:tcW w:w="3120" w:type="dxa"/>
          </w:tcPr>
          <w:p>
            <w:pPr/>
            <w:r>
              <w:t xml:space="preserve">Nachrichten inkl. Tool-Aufrufen</w:t>
            </w:r>
          </w:p>
        </w:tc>
        <w:tc>
          <w:tcPr>
            <w:tcW w:w="3120" w:type="dxa"/>
          </w:tcPr>
          <w:p>
            <w:pPr/>
            <w:r>
              <w:rPr>
                <w:rStyle w:val="CodeChar"/>
              </w:rPr>
              <w:t xml:space="preserve">role</w:t>
            </w:r>
            <w:r>
              <w:t xml:space="preserve">, </w:t>
            </w:r>
            <w:r>
              <w:rPr>
                <w:rStyle w:val="CodeChar"/>
              </w:rPr>
              <w:t xml:space="preserve">content</w:t>
            </w:r>
            <w:r>
              <w:t xml:space="preserve">, </w:t>
            </w:r>
            <w:r>
              <w:rPr>
                <w:rStyle w:val="CodeChar"/>
              </w:rPr>
              <w:t xml:space="preserve">parts</w:t>
            </w:r>
            <w:r>
              <w:t xml:space="preserve"> (JSON), </w:t>
            </w:r>
            <w:r>
              <w:rPr>
                <w:rStyle w:val="CodeChar"/>
              </w:rPr>
              <w:t xml:space="preserve">attachment_ids</w:t>
            </w:r>
            <w:r>
              <w:t xml:space="preserve">, </w:t>
            </w:r>
            <w:r>
              <w:rPr>
                <w:rStyle w:val="CodeChar"/>
              </w:rPr>
              <w:t xml:space="preserve">usage</w:t>
            </w:r>
          </w:p>
        </w:tc>
      </w:tr>
      <w:tr>
        <w:tc>
          <w:tcPr>
            <w:tcW w:w="3120" w:type="dxa"/>
          </w:tcPr>
          <w:p>
            <w:pPr/>
            <w:r>
              <w:rPr>
                <w:rStyle w:val="CodeChar"/>
              </w:rPr>
              <w:t xml:space="preserve">attachments</w:t>
            </w:r>
          </w:p>
        </w:tc>
        <w:tc>
          <w:tcPr>
            <w:tcW w:w="3120" w:type="dxa"/>
          </w:tcPr>
          <w:p>
            <w:pPr/>
            <w:r>
              <w:t xml:space="preserve">Hochgeladene Dateien</w:t>
            </w:r>
          </w:p>
        </w:tc>
        <w:tc>
          <w:tcPr>
            <w:tcW w:w="3120" w:type="dxa"/>
          </w:tcPr>
          <w:p>
            <w:pPr/>
            <w:r>
              <w:rPr>
                <w:rStyle w:val="CodeChar"/>
              </w:rPr>
              <w:t xml:space="preserve">data</w:t>
            </w:r>
            <w:r>
              <w:t xml:space="preserve"> (bytea), </w:t>
            </w:r>
            <w:r>
              <w:rPr>
                <w:rStyle w:val="CodeChar"/>
              </w:rPr>
              <w:t xml:space="preserve">extracted_text</w:t>
            </w:r>
            <w:r>
              <w:t xml:space="preserve">, </w:t>
            </w:r>
            <w:r>
              <w:rPr>
                <w:rStyle w:val="CodeChar"/>
              </w:rPr>
              <w:t xml:space="preserve">sha256</w:t>
            </w:r>
            <w:r>
              <w:t xml:space="preserve">, </w:t>
            </w:r>
            <w:r>
              <w:rPr>
                <w:rStyle w:val="CodeChar"/>
              </w:rPr>
              <w:t xml:space="preserve">mime_type</w:t>
            </w:r>
            <w:r>
              <w:t xml:space="preserve">, </w:t>
            </w:r>
            <w:r>
              <w:rPr>
                <w:rStyle w:val="CodeChar"/>
              </w:rPr>
              <w:t xml:space="preserve">size</w:t>
            </w:r>
          </w:p>
        </w:tc>
      </w:tr>
      <w:tr>
        <w:tc>
          <w:tcPr>
            <w:tcW w:w="3120" w:type="dxa"/>
          </w:tcPr>
          <w:p>
            <w:pPr/>
            <w:r>
              <w:rPr>
                <w:rStyle w:val="CodeChar"/>
              </w:rPr>
              <w:t xml:space="preserve">audit_log</w:t>
            </w:r>
          </w:p>
        </w:tc>
        <w:tc>
          <w:tcPr>
            <w:tcW w:w="3120" w:type="dxa"/>
          </w:tcPr>
          <w:p>
            <w:pPr/>
            <w:r>
              <w:t xml:space="preserve">Revisionsspur</w:t>
            </w:r>
          </w:p>
        </w:tc>
        <w:tc>
          <w:tcPr>
            <w:tcW w:w="3120" w:type="dxa"/>
          </w:tcPr>
          <w:p>
            <w:pPr/>
            <w:r>
              <w:rPr>
                <w:rStyle w:val="CodeChar"/>
              </w:rPr>
              <w:t xml:space="preserve">ts</w:t>
            </w:r>
            <w:r>
              <w:t xml:space="preserve">, </w:t>
            </w:r>
            <w:r>
              <w:rPr>
                <w:rStyle w:val="CodeChar"/>
              </w:rPr>
              <w:t xml:space="preserve">user_id</w:t>
            </w:r>
            <w:r>
              <w:t xml:space="preserve">, </w:t>
            </w:r>
            <w:r>
              <w:rPr>
                <w:rStyle w:val="CodeChar"/>
              </w:rPr>
              <w:t xml:space="preserve">username</w:t>
            </w:r>
            <w:r>
              <w:t xml:space="preserve">, </w:t>
            </w:r>
            <w:r>
              <w:rPr>
                <w:rStyle w:val="CodeChar"/>
              </w:rPr>
              <w:t xml:space="preserve">action</w:t>
            </w:r>
            <w:r>
              <w:t xml:space="preserve">, </w:t>
            </w:r>
            <w:r>
              <w:rPr>
                <w:rStyle w:val="CodeChar"/>
              </w:rPr>
              <w:t xml:space="preserve">target_type</w:t>
            </w:r>
            <w:r>
              <w:t xml:space="preserve">, </w:t>
            </w:r>
            <w:r>
              <w:rPr>
                <w:rStyle w:val="CodeChar"/>
              </w:rPr>
              <w:t xml:space="preserve">target_id</w:t>
            </w:r>
            <w:r>
              <w:t xml:space="preserve">, </w:t>
            </w:r>
            <w:r>
              <w:rPr>
                <w:rStyle w:val="CodeChar"/>
              </w:rPr>
              <w:t xml:space="preserve">success</w:t>
            </w:r>
            <w:r>
              <w:t xml:space="preserve">, </w:t>
            </w:r>
            <w:r>
              <w:rPr>
                <w:rStyle w:val="CodeChar"/>
              </w:rPr>
              <w:t xml:space="preserve">ip</w:t>
            </w:r>
            <w:r>
              <w:t xml:space="preserve">, </w:t>
            </w:r>
            <w:r>
              <w:rPr>
                <w:rStyle w:val="CodeChar"/>
              </w:rPr>
              <w:t xml:space="preserve">user_agent</w:t>
            </w:r>
            <w:r>
              <w:t xml:space="preserve">, </w:t>
            </w:r>
            <w:r>
              <w:rPr>
                <w:rStyle w:val="CodeChar"/>
              </w:rPr>
              <w:t xml:space="preserve">details</w:t>
            </w:r>
            <w:r>
              <w:t xml:space="preserve"> (JSON)</w:t>
            </w:r>
          </w:p>
        </w:tc>
      </w:tr>
    </w:tbl>
    <w:p>
      <w:pPr/>
      <w:r>
        <w:rPr>
          <w:b/>
        </w:rPr>
        <w:t xml:space="preserve">Wissensdatenbank und Zugriffstokens: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Tabelle</w:t>
            </w:r>
          </w:p>
        </w:tc>
        <w:tc>
          <w:tcPr>
            <w:tcW w:w="3120" w:type="dxa"/>
            <w:shd w:val="clear" w:color="auto" w:fill="F2F2F2"/>
          </w:tcPr>
          <w:p>
            <w:pPr/>
            <w:r>
              <w:t xml:space="preserve">Inhalt</w:t>
            </w:r>
          </w:p>
        </w:tc>
        <w:tc>
          <w:tcPr>
            <w:tcW w:w="3120" w:type="dxa"/>
            <w:shd w:val="clear" w:color="auto" w:fill="F2F2F2"/>
          </w:tcPr>
          <w:p>
            <w:pPr/>
            <w:r>
              <w:t xml:space="preserve">Wichtige Felder</w:t>
            </w:r>
          </w:p>
        </w:tc>
      </w:tr>
      <w:tr>
        <w:tc>
          <w:tcPr>
            <w:tcW w:w="3120" w:type="dxa"/>
          </w:tcPr>
          <w:p>
            <w:pPr/>
            <w:r>
              <w:rPr>
                <w:rStyle w:val="CodeChar"/>
              </w:rPr>
              <w:t xml:space="preserve">knowledge_collections</w:t>
            </w:r>
          </w:p>
        </w:tc>
        <w:tc>
          <w:tcPr>
            <w:tcW w:w="3120" w:type="dxa"/>
          </w:tcPr>
          <w:p>
            <w:pPr/>
            <w:r>
              <w:t xml:space="preserve">Sammlungen</w:t>
            </w:r>
          </w:p>
        </w:tc>
        <w:tc>
          <w:tcPr>
            <w:tcW w:w="3120" w:type="dxa"/>
          </w:tcPr>
          <w:p>
            <w:pPr/>
            <w:r>
              <w:rPr>
                <w:rStyle w:val="CodeChar"/>
              </w:rPr>
              <w:t xml:space="preserve">name</w:t>
            </w:r>
            <w:r>
              <w:t xml:space="preserve">, </w:t>
            </w:r>
            <w:r>
              <w:rPr>
                <w:rStyle w:val="CodeChar"/>
              </w:rPr>
              <w:t xml:space="preserve">description</w:t>
            </w:r>
            <w:r>
              <w:t xml:space="preserve">, </w:t>
            </w:r>
            <w:r>
              <w:rPr>
                <w:rStyle w:val="CodeChar"/>
              </w:rPr>
              <w:t xml:space="preserve">public</w:t>
            </w:r>
            <w:r>
              <w:t xml:space="preserve">, </w:t>
            </w:r>
            <w:r>
              <w:rPr>
                <w:rStyle w:val="CodeChar"/>
              </w:rPr>
              <w:t xml:space="preserve">allowed_groups</w:t>
            </w:r>
          </w:p>
        </w:tc>
      </w:tr>
      <w:tr>
        <w:tc>
          <w:tcPr>
            <w:tcW w:w="3120" w:type="dxa"/>
          </w:tcPr>
          <w:p>
            <w:pPr/>
            <w:r>
              <w:rPr>
                <w:rStyle w:val="CodeChar"/>
              </w:rPr>
              <w:t xml:space="preserve">knowledge_sources</w:t>
            </w:r>
          </w:p>
        </w:tc>
        <w:tc>
          <w:tcPr>
            <w:tcW w:w="3120" w:type="dxa"/>
          </w:tcPr>
          <w:p>
            <w:pPr/>
            <w:r>
              <w:t xml:space="preserve">Quellen je Sammlung</w:t>
            </w:r>
          </w:p>
        </w:tc>
        <w:tc>
          <w:tcPr>
            <w:tcW w:w="3120" w:type="dxa"/>
          </w:tcPr>
          <w:p>
            <w:pPr/>
            <w:r>
              <w:rPr>
                <w:rStyle w:val="CodeChar"/>
              </w:rPr>
              <w:t xml:space="preserve">type</w:t>
            </w:r>
            <w:r>
              <w:t xml:space="preserve"> (upload/filesystem/confluence/sharepoint), </w:t>
            </w:r>
            <w:r>
              <w:rPr>
                <w:rStyle w:val="CodeChar"/>
              </w:rPr>
              <w:t xml:space="preserve">config</w:t>
            </w:r>
            <w:r>
              <w:t xml:space="preserve">, </w:t>
            </w:r>
            <w:r>
              <w:rPr>
                <w:rStyle w:val="CodeChar"/>
              </w:rPr>
              <w:t xml:space="preserve">secret_enc</w:t>
            </w:r>
            <w:r>
              <w:t xml:space="preserve">, </w:t>
            </w:r>
            <w:r>
              <w:rPr>
                <w:rStyle w:val="CodeChar"/>
              </w:rPr>
              <w:t xml:space="preserve">sync_interval_minutes</w:t>
            </w:r>
            <w:r>
              <w:t xml:space="preserve">, </w:t>
            </w:r>
            <w:r>
              <w:rPr>
                <w:rStyle w:val="CodeChar"/>
              </w:rPr>
              <w:t xml:space="preserve">last_status</w:t>
            </w:r>
            <w:r>
              <w:t xml:space="preserve">, </w:t>
            </w:r>
            <w:r>
              <w:rPr>
                <w:rStyle w:val="CodeChar"/>
              </w:rPr>
              <w:t xml:space="preserve">last_stats</w:t>
            </w:r>
          </w:p>
        </w:tc>
      </w:tr>
      <w:tr>
        <w:tc>
          <w:tcPr>
            <w:tcW w:w="3120" w:type="dxa"/>
          </w:tcPr>
          <w:p>
            <w:pPr/>
            <w:r>
              <w:rPr>
                <w:rStyle w:val="CodeChar"/>
              </w:rPr>
              <w:t xml:space="preserve">knowledge_documents</w:t>
            </w:r>
          </w:p>
        </w:tc>
        <w:tc>
          <w:tcPr>
            <w:tcW w:w="3120" w:type="dxa"/>
          </w:tcPr>
          <w:p>
            <w:pPr/>
            <w:r>
              <w:t xml:space="preserve">Ein Eintrag pro Dokument, </w:t>
            </w:r>
            <w:r>
              <w:rPr>
                <w:b/>
              </w:rPr>
              <w:t xml:space="preserve">nur Text, kein Original</w:t>
            </w:r>
          </w:p>
        </w:tc>
        <w:tc>
          <w:tcPr>
            <w:tcW w:w="3120" w:type="dxa"/>
          </w:tcPr>
          <w:p>
            <w:pPr/>
            <w:r>
              <w:rPr>
                <w:rStyle w:val="CodeChar"/>
              </w:rPr>
              <w:t xml:space="preserve">external_id</w:t>
            </w:r>
            <w:r>
              <w:t xml:space="preserve">, </w:t>
            </w:r>
            <w:r>
              <w:rPr>
                <w:rStyle w:val="CodeChar"/>
              </w:rPr>
              <w:t xml:space="preserve">title</w:t>
            </w:r>
            <w:r>
              <w:t xml:space="preserve">, </w:t>
            </w:r>
            <w:r>
              <w:rPr>
                <w:rStyle w:val="CodeChar"/>
              </w:rPr>
              <w:t xml:space="preserve">url</w:t>
            </w:r>
            <w:r>
              <w:t xml:space="preserve"> (Link zur Quelle), </w:t>
            </w:r>
            <w:r>
              <w:rPr>
                <w:rStyle w:val="CodeChar"/>
              </w:rPr>
              <w:t xml:space="preserve">version</w:t>
            </w:r>
            <w:r>
              <w:t xml:space="preserve">, </w:t>
            </w:r>
            <w:r>
              <w:rPr>
                <w:rStyle w:val="CodeChar"/>
              </w:rPr>
              <w:t xml:space="preserve">sha256</w:t>
            </w:r>
            <w:r>
              <w:t xml:space="preserve">, </w:t>
            </w:r>
            <w:r>
              <w:rPr>
                <w:rStyle w:val="CodeChar"/>
              </w:rPr>
              <w:t xml:space="preserve">text</w:t>
            </w:r>
            <w:r>
              <w:t xml:space="preserve">, </w:t>
            </w:r>
            <w:r>
              <w:rPr>
                <w:rStyle w:val="CodeChar"/>
              </w:rPr>
              <w:t xml:space="preserve">status</w:t>
            </w:r>
            <w:r>
              <w:t xml:space="preserve">, </w:t>
            </w:r>
            <w:r>
              <w:rPr>
                <w:rStyle w:val="CodeChar"/>
              </w:rPr>
              <w:t xml:space="preserve">embedding_model</w:t>
            </w:r>
          </w:p>
        </w:tc>
      </w:tr>
      <w:tr>
        <w:tc>
          <w:tcPr>
            <w:tcW w:w="3120" w:type="dxa"/>
          </w:tcPr>
          <w:p>
            <w:pPr/>
            <w:r>
              <w:rPr>
                <w:rStyle w:val="CodeChar"/>
              </w:rPr>
              <w:t xml:space="preserve">knowledge_chunks</w:t>
            </w:r>
          </w:p>
        </w:tc>
        <w:tc>
          <w:tcPr>
            <w:tcW w:w="3120" w:type="dxa"/>
          </w:tcPr>
          <w:p>
            <w:pPr/>
            <w:r>
              <w:t xml:space="preserve">Abschnitte für die Suche</w:t>
            </w:r>
          </w:p>
        </w:tc>
        <w:tc>
          <w:tcPr>
            <w:tcW w:w="3120" w:type="dxa"/>
          </w:tcPr>
          <w:p>
            <w:pPr/>
            <w:r>
              <w:rPr>
                <w:rStyle w:val="CodeChar"/>
              </w:rPr>
              <w:t xml:space="preserve">content</w:t>
            </w:r>
            <w:r>
              <w:t xml:space="preserve">, </w:t>
            </w:r>
            <w:r>
              <w:rPr>
                <w:rStyle w:val="CodeChar"/>
              </w:rPr>
              <w:t xml:space="preserve">embedding</w:t>
            </w:r>
            <w:r>
              <w:t xml:space="preserve"> (pgvector), </w:t>
            </w:r>
            <w:r>
              <w:rPr>
                <w:rStyle w:val="CodeChar"/>
              </w:rPr>
              <w:t xml:space="preserve">embedding_dim</w:t>
            </w:r>
            <w:r>
              <w:t xml:space="preserve">, </w:t>
            </w:r>
            <w:r>
              <w:rPr>
                <w:rStyle w:val="CodeChar"/>
              </w:rPr>
              <w:t xml:space="preserve">tsv</w:t>
            </w:r>
            <w:r>
              <w:t xml:space="preserve"> (Volltext)</w:t>
            </w:r>
          </w:p>
        </w:tc>
      </w:tr>
      <w:tr>
        <w:tc>
          <w:tcPr>
            <w:tcW w:w="3120" w:type="dxa"/>
          </w:tcPr>
          <w:p>
            <w:pPr/>
            <w:r>
              <w:rPr>
                <w:rStyle w:val="CodeChar"/>
              </w:rPr>
              <w:t xml:space="preserve">api_tokens</w:t>
            </w:r>
          </w:p>
        </w:tc>
        <w:tc>
          <w:tcPr>
            <w:tcW w:w="3120" w:type="dxa"/>
          </w:tcPr>
          <w:p>
            <w:pPr/>
            <w:r>
              <w:t xml:space="preserve">Persönliche Zugriffstokens für den MCP-Endpunkt</w:t>
            </w:r>
          </w:p>
        </w:tc>
        <w:tc>
          <w:tcPr>
            <w:tcW w:w="3120" w:type="dxa"/>
          </w:tcPr>
          <w:p>
            <w:pPr/>
            <w:r>
              <w:rPr>
                <w:rStyle w:val="CodeChar"/>
              </w:rPr>
              <w:t xml:space="preserve">token_hash</w:t>
            </w:r>
            <w:r>
              <w:t xml:space="preserve"> (SHA-256), </w:t>
            </w:r>
            <w:r>
              <w:rPr>
                <w:rStyle w:val="CodeChar"/>
              </w:rPr>
              <w:t xml:space="preserve">prefix</w:t>
            </w:r>
            <w:r>
              <w:t xml:space="preserve">, </w:t>
            </w:r>
            <w:r>
              <w:rPr>
                <w:rStyle w:val="CodeChar"/>
              </w:rPr>
              <w:t xml:space="preserve">expires_at</w:t>
            </w:r>
            <w:r>
              <w:t xml:space="preserve">, </w:t>
            </w:r>
            <w:r>
              <w:rPr>
                <w:rStyle w:val="CodeChar"/>
              </w:rPr>
              <w:t xml:space="preserve">last_used_at</w:t>
            </w:r>
          </w:p>
        </w:tc>
      </w:tr>
      <w:tr>
        <w:tc>
          <w:tcPr>
            <w:tcW w:w="3120" w:type="dxa"/>
          </w:tcPr>
          <w:p>
            <w:pPr/>
            <w:r>
              <w:rPr>
                <w:rStyle w:val="CodeChar"/>
              </w:rPr>
              <w:t xml:space="preserve">settings</w:t>
            </w:r>
          </w:p>
        </w:tc>
        <w:tc>
          <w:tcPr>
            <w:tcW w:w="3120" w:type="dxa"/>
          </w:tcPr>
          <w:p>
            <w:pPr/>
            <w:r>
              <w:t xml:space="preserve">Globale Einstellungen</w:t>
            </w:r>
          </w:p>
        </w:tc>
        <w:tc>
          <w:tcPr>
            <w:tcW w:w="3120" w:type="dxa"/>
          </w:tcPr>
          <w:p>
            <w:pPr/>
            <w:r>
              <w:t xml:space="preserve">z. B. </w:t>
            </w:r>
            <w:r>
              <w:rPr>
                <w:rStyle w:val="CodeChar"/>
              </w:rPr>
              <w:t xml:space="preserve">embedding</w:t>
            </w:r>
            <w:r>
              <w:t xml:space="preserve"> (Anbieter, Modell, Dimensionen)</w:t>
            </w:r>
          </w:p>
        </w:tc>
      </w:tr>
    </w:tbl>
    <w:p>
      <w:pPr/>
      <w:r>
        <w:t xml:space="preserve">Dateien liegen bewusst in PostgreSQL statt auf einem Volume: So brauchen mehrere Replicas kein ReadWriteMany-Storage, und Backups decken alles ab. Ab größeren Volumen lässt sich </w:t>
      </w:r>
      <w:r>
        <w:rPr>
          <w:rStyle w:val="CodeChar"/>
        </w:rPr>
        <w:t xml:space="preserve">data</w:t>
      </w:r>
      <w:r>
        <w:t xml:space="preserve"> auf S3/MinIO auslagern.</w:t>
      </w:r>
    </w:p>
    <w:p>
      <w:pPr>
        <w:pStyle w:val="Heading2"/>
      </w:pPr>
      <w:r>
        <w:t xml:space="preserve">Authentifizierung &amp; Rollen</w:t>
      </w:r>
    </w:p>
    <w:p>
      <w:pPr/>
      <w:r>
        <w:t xml:space="preserve">Drei Anmeldewege laufen parallel und landen alle in derselben </w:t>
      </w:r>
      <w:r>
        <w:rPr>
          <w:rStyle w:val="CodeChar"/>
        </w:rPr>
        <w:t xml:space="preserve">users</w:t>
      </w:r>
      <w:r>
        <w:t xml:space="preserve">-Tabelle; danach gilt ein einheitliches Session-Cookie (HttpOnly, SameSite=Lax, signiertes JWT, Standard 12 h). Alle drei Wege sind im Grundgerüst gegen Test-Server (Mock-LDAP, Mock-OIDC-Provider) erfolgreich getestet.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Methode</w:t>
            </w:r>
          </w:p>
        </w:tc>
        <w:tc>
          <w:tcPr>
            <w:tcW w:w="3120" w:type="dxa"/>
            <w:shd w:val="clear" w:color="auto" w:fill="F2F2F2"/>
          </w:tcPr>
          <w:p>
            <w:pPr/>
            <w:r>
              <w:t xml:space="preserve">Ablauf</w:t>
            </w:r>
          </w:p>
        </w:tc>
        <w:tc>
          <w:tcPr>
            <w:tcW w:w="3120" w:type="dxa"/>
            <w:shd w:val="clear" w:color="auto" w:fill="F2F2F2"/>
          </w:tcPr>
          <w:p>
            <w:pPr/>
            <w:r>
              <w:t xml:space="preserve">Rollenzuordnung</w:t>
            </w:r>
          </w:p>
        </w:tc>
      </w:tr>
      <w:tr>
        <w:tc>
          <w:tcPr>
            <w:tcW w:w="3120" w:type="dxa"/>
          </w:tcPr>
          <w:p>
            <w:pPr/>
            <w:r>
              <w:t xml:space="preserve">Lokal</w:t>
            </w:r>
          </w:p>
        </w:tc>
        <w:tc>
          <w:tcPr>
            <w:tcW w:w="3120" w:type="dxa"/>
          </w:tcPr>
          <w:p>
            <w:pPr/>
            <w:r>
              <w:t xml:space="preserve">Benutzername + Passwort, bcrypt (Kosten 12)</w:t>
            </w:r>
          </w:p>
        </w:tc>
        <w:tc>
          <w:tcPr>
            <w:tcW w:w="3120" w:type="dxa"/>
          </w:tcPr>
          <w:p>
            <w:pPr/>
            <w:r>
              <w:t xml:space="preserve">Im Portal durch Admins</w:t>
            </w:r>
          </w:p>
        </w:tc>
      </w:tr>
      <w:tr>
        <w:tc>
          <w:tcPr>
            <w:tcW w:w="3120" w:type="dxa"/>
          </w:tcPr>
          <w:p>
            <w:pPr/>
            <w:r>
              <w:t xml:space="preserve">LDAP / AD</w:t>
            </w:r>
          </w:p>
        </w:tc>
        <w:tc>
          <w:tcPr>
            <w:tcW w:w="3120" w:type="dxa"/>
          </w:tcPr>
          <w:p>
            <w:pPr/>
            <w:r>
              <w:t xml:space="preserve">Service-Bind → Benutzersuche (Filter mit RFC-4515-Escaping) → Bind als Benutzer</w:t>
            </w:r>
          </w:p>
        </w:tc>
        <w:tc>
          <w:tcPr>
            <w:tcW w:w="3120" w:type="dxa"/>
          </w:tcPr>
          <w:p>
            <w:pPr/>
            <w:r>
              <w:rPr>
                <w:rStyle w:val="CodeChar"/>
              </w:rPr>
              <w:t xml:space="preserve">LDAP_ADMIN_GROUP_DN</w:t>
            </w:r>
            <w:r>
              <w:t xml:space="preserve"> → Admin; </w:t>
            </w:r>
            <w:r>
              <w:rPr>
                <w:rStyle w:val="CodeChar"/>
              </w:rPr>
              <w:t xml:space="preserve">LDAP_USER_GROUP_DN</w:t>
            </w:r>
            <w:r>
              <w:t xml:space="preserve"> beschränkt den Zugang</w:t>
            </w:r>
          </w:p>
        </w:tc>
      </w:tr>
      <w:tr>
        <w:tc>
          <w:tcPr>
            <w:tcW w:w="3120" w:type="dxa"/>
          </w:tcPr>
          <w:p>
            <w:pPr/>
            <w:r>
              <w:t xml:space="preserve">OIDC / Azure AD</w:t>
            </w:r>
          </w:p>
        </w:tc>
        <w:tc>
          <w:tcPr>
            <w:tcW w:w="3120" w:type="dxa"/>
          </w:tcPr>
          <w:p>
            <w:pPr/>
            <w:r>
              <w:t xml:space="preserve">Authorization Code Flow mit PKCE, State und Nonce in kurzlebigem signiertem Cookie</w:t>
            </w:r>
          </w:p>
        </w:tc>
        <w:tc>
          <w:tcPr>
            <w:tcW w:w="3120" w:type="dxa"/>
          </w:tcPr>
          <w:p>
            <w:pPr/>
            <w:r>
              <w:t xml:space="preserve">App-Rollen im Claim </w:t>
            </w:r>
            <w:r>
              <w:rPr>
                <w:rStyle w:val="CodeChar"/>
              </w:rPr>
              <w:t xml:space="preserve">roles</w:t>
            </w:r>
            <w:r>
              <w:t xml:space="preserve"> (</w:t>
            </w:r>
            <w:r>
              <w:rPr>
                <w:rStyle w:val="CodeChar"/>
              </w:rPr>
              <w:t xml:space="preserve">AiPortal.User</w:t>
            </w:r>
            <w:r>
              <w:t xml:space="preserve">, </w:t>
            </w:r>
            <w:r>
              <w:rPr>
                <w:rStyle w:val="CodeChar"/>
              </w:rPr>
              <w:t xml:space="preserve">AiPortal.Admin</w:t>
            </w:r>
            <w:r>
              <w:t xml:space="preserve">)</w:t>
            </w:r>
          </w:p>
        </w:tc>
      </w:tr>
    </w:tbl>
    <w:p>
      <w:pPr/>
      <w:r>
        <w:rPr>
          <w:b/>
        </w:rPr>
        <w:t xml:space="preserve">Regeln:</w:t>
      </w:r>
    </w:p>
    <w:p>
      <w:pPr>
        <w:pStyle w:val="ListParagraph"/>
        <w:numPr>
          <w:ilvl w:val="0"/>
          <w:numId w:val="4"/>
        </w:numPr>
      </w:pPr>
      <w:r>
        <w:t xml:space="preserve">Externe Benutzer werden beim ersten Login angelegt (Just-in-Time); Anzeigename und E-Mail werden bei jedem Login aktualisiert.</w:t>
      </w:r>
    </w:p>
    <w:p>
      <w:pPr>
        <w:pStyle w:val="ListParagraph"/>
        <w:numPr>
          <w:ilvl w:val="0"/>
          <w:numId w:val="4"/>
        </w:numPr>
      </w:pPr>
      <w:r>
        <w:t xml:space="preserve">Ist eine Admin-Gruppe bzw. -Rolle konfiguriert, synchronisiert jeder Login die Rolle; sonst bleibt die im Portal vergebene Rolle.</w:t>
      </w:r>
    </w:p>
    <w:p>
      <w:pPr>
        <w:pStyle w:val="ListParagraph"/>
        <w:numPr>
          <w:ilvl w:val="0"/>
          <w:numId w:val="4"/>
        </w:numPr>
      </w:pPr>
      <w:r>
        <w:t xml:space="preserve">Ein Benutzername gehört genau einer Quelle – ein LDAP-Login kann kein lokales Konto übernehmen.</w:t>
      </w:r>
    </w:p>
    <w:p>
      <w:pPr>
        <w:pStyle w:val="ListParagraph"/>
        <w:numPr>
          <w:ilvl w:val="0"/>
          <w:numId w:val="4"/>
        </w:numPr>
      </w:pPr>
      <w:r>
        <w:t xml:space="preserve">Deaktivierte Benutzer verlieren sofort den Zugriff, weil jede Anfrage den Benutzer frisch aus der Datenbank lädt.</w:t>
      </w:r>
    </w:p>
    <w:p>
      <w:pPr>
        <w:pStyle w:val="ListParagraph"/>
        <w:numPr>
          <w:ilvl w:val="0"/>
          <w:numId w:val="4"/>
        </w:numPr>
      </w:pPr>
      <w:r>
        <w:t xml:space="preserve">Beim ersten Start legt </w:t>
      </w:r>
      <w:r>
        <w:rPr>
          <w:rStyle w:val="CodeChar"/>
        </w:rPr>
        <w:t xml:space="preserve">BOOTSTRAP_ADMIN_PASSWORD</w:t>
      </w:r>
      <w:r>
        <w:t xml:space="preserve"> einen lokalen Admin an, falls noch kein Benutzer existiert.</w:t>
      </w:r>
    </w:p>
    <w:p>
      <w:pPr/>
      <w:r>
        <w:rPr>
          <w:b/>
        </w:rPr>
        <w:t xml:space="preserve">Azure AD einrichten:</w:t>
      </w:r>
      <w:r>
        <w:t xml:space="preserve"> App-Registrierung mit Redirect-URI </w:t>
      </w:r>
      <w:r>
        <w:rPr>
          <w:rStyle w:val="CodeChar"/>
        </w:rPr>
        <w:t xml:space="preserve">https://&lt;host&gt;/api/auth/oidc/callback</w:t>
      </w:r>
      <w:r>
        <w:t xml:space="preserve">, Client-Secret, App-Rollen </w:t>
      </w:r>
      <w:r>
        <w:rPr>
          <w:rStyle w:val="CodeChar"/>
        </w:rPr>
        <w:t xml:space="preserve">AiPortal.User</w:t>
      </w:r>
      <w:r>
        <w:t xml:space="preserve"> und </w:t>
      </w:r>
      <w:r>
        <w:rPr>
          <w:rStyle w:val="CodeChar"/>
        </w:rPr>
        <w:t xml:space="preserve">AiPortal.Admin</w:t>
      </w:r>
      <w:r>
        <w:t xml:space="preserve"> anlegen und Gruppen zuweisen; Issuer </w:t>
      </w:r>
      <w:r>
        <w:rPr>
          <w:rStyle w:val="CodeChar"/>
        </w:rPr>
        <w:t xml:space="preserve">https://login.microsoftonline.com/&lt;tenant&gt;/v2.0</w:t>
      </w:r>
      <w:r>
        <w:t xml:space="preserve">.</w:t>
      </w:r>
    </w:p>
    <w:p>
      <w:pPr>
        <w:pStyle w:val="Heading2"/>
      </w:pPr>
      <w:r>
        <w:t xml:space="preserve">KI-Anbieter &amp; Modellkatalog</w:t>
      </w:r>
    </w:p>
    <w:p>
      <w:pPr/>
      <w:r>
        <w:t xml:space="preserve">Admins legen Anbieter mit Zugangsdaten zentral an und geben daraus einzelne Modelle frei; Benutzer wählen im Chat nur aus dieser Liste. API-Schlüssel sind write-only: Die Oberfläche zeigt nur, ob einer hinterlegt ist.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Anbieter-Typ</w:t>
            </w:r>
          </w:p>
        </w:tc>
        <w:tc>
          <w:tcPr>
            <w:tcW w:w="2340" w:type="dxa"/>
            <w:shd w:val="clear" w:color="auto" w:fill="F2F2F2"/>
          </w:tcPr>
          <w:p>
            <w:pPr/>
            <w:r>
              <w:t xml:space="preserve">Anbindung</w:t>
            </w:r>
          </w:p>
        </w:tc>
        <w:tc>
          <w:tcPr>
            <w:tcW w:w="2340" w:type="dxa"/>
            <w:shd w:val="clear" w:color="auto" w:fill="F2F2F2"/>
          </w:tcPr>
          <w:p>
            <w:pPr/>
            <w:r>
              <w:t xml:space="preserve">Zugangsdaten</w:t>
            </w:r>
          </w:p>
        </w:tc>
        <w:tc>
          <w:tcPr>
            <w:tcW w:w="2340" w:type="dxa"/>
            <w:shd w:val="clear" w:color="auto" w:fill="F2F2F2"/>
          </w:tcPr>
          <w:p>
            <w:pPr/>
            <w:r>
              <w:t xml:space="preserve">Modell-Vorlagen im Portal</w:t>
            </w:r>
          </w:p>
        </w:tc>
      </w:tr>
      <w:tr>
        <w:tc>
          <w:tcPr>
            <w:tcW w:w="2340" w:type="dxa"/>
          </w:tcPr>
          <w:p>
            <w:pPr/>
            <w:r>
              <w:t xml:space="preserve">Anthropic Claude</w:t>
            </w:r>
          </w:p>
        </w:tc>
        <w:tc>
          <w:tcPr>
            <w:tcW w:w="2340" w:type="dxa"/>
          </w:tcPr>
          <w:p>
            <w:pPr/>
            <w:r>
              <w:rPr>
                <w:rStyle w:val="CodeChar"/>
              </w:rPr>
              <w:t xml:space="preserve">@ai-sdk/anthropic</w:t>
            </w:r>
            <w:r>
              <w:t xml:space="preserve">, optional eigene Basis-URL (Proxy/Gateway)</w:t>
            </w:r>
          </w:p>
        </w:tc>
        <w:tc>
          <w:tcPr>
            <w:tcW w:w="2340" w:type="dxa"/>
          </w:tcPr>
          <w:p>
            <w:pPr/>
            <w:r>
              <w:t xml:space="preserve">API-Key</w:t>
            </w:r>
          </w:p>
        </w:tc>
        <w:tc>
          <w:tcPr>
            <w:tcW w:w="2340" w:type="dxa"/>
          </w:tcPr>
          <w:p>
            <w:pPr/>
            <w:r>
              <w:t xml:space="preserve">Claude Opus 5.5, Sonnet 5, Haiku 4.5</w:t>
            </w:r>
          </w:p>
        </w:tc>
      </w:tr>
      <w:tr>
        <w:tc>
          <w:tcPr>
            <w:tcW w:w="2340" w:type="dxa"/>
          </w:tcPr>
          <w:p>
            <w:pPr/>
            <w:r>
              <w:t xml:space="preserve">AWS Bedrock</w:t>
            </w:r>
          </w:p>
        </w:tc>
        <w:tc>
          <w:tcPr>
            <w:tcW w:w="2340" w:type="dxa"/>
          </w:tcPr>
          <w:p>
            <w:pPr/>
            <w:r>
              <w:rPr>
                <w:rStyle w:val="CodeChar"/>
              </w:rPr>
              <w:t xml:space="preserve">@ai-sdk/amazon-bedrock</w:t>
            </w:r>
            <w:r>
              <w:t xml:space="preserve">, Region frei wählbar (Standard </w:t>
            </w:r>
            <w:r>
              <w:rPr>
                <w:rStyle w:val="CodeChar"/>
              </w:rPr>
              <w:t xml:space="preserve">eu-central-1</w:t>
            </w:r>
            <w:r>
              <w:t xml:space="preserve">)</w:t>
            </w:r>
          </w:p>
        </w:tc>
        <w:tc>
          <w:tcPr>
            <w:tcW w:w="2340" w:type="dxa"/>
          </w:tcPr>
          <w:p>
            <w:pPr/>
            <w:r>
              <w:t xml:space="preserve">Access Key + Secret oder Bedrock-API-Key</w:t>
            </w:r>
          </w:p>
        </w:tc>
        <w:tc>
          <w:tcPr>
            <w:tcW w:w="2340" w:type="dxa"/>
          </w:tcPr>
          <w:p>
            <w:pPr/>
            <w:r>
              <w:t xml:space="preserve">Claude Sonnet 4.5 / Haiku 4.5 (EU-Inference-Profile), Amazon Nova Pro</w:t>
            </w:r>
          </w:p>
        </w:tc>
      </w:tr>
      <w:tr>
        <w:tc>
          <w:tcPr>
            <w:tcW w:w="2340" w:type="dxa"/>
          </w:tcPr>
          <w:p>
            <w:pPr/>
            <w:r>
              <w:t xml:space="preserve">GitHub Models / Enterprise</w:t>
            </w:r>
          </w:p>
        </w:tc>
        <w:tc>
          <w:tcPr>
            <w:tcW w:w="2340" w:type="dxa"/>
          </w:tcPr>
          <w:p>
            <w:pPr/>
            <w:r>
              <w:t xml:space="preserve">OpenAI-kompatibler Endpunkt </w:t>
            </w:r>
            <w:r>
              <w:rPr>
                <w:rStyle w:val="CodeChar"/>
              </w:rPr>
              <w:t xml:space="preserve">models.github.ai</w:t>
            </w:r>
            <w:r>
              <w:t xml:space="preserve">, optional org-gebunden (</w:t>
            </w:r>
            <w:r>
              <w:rPr>
                <w:rStyle w:val="CodeChar"/>
              </w:rPr>
              <w:t xml:space="preserve">/orgs/&lt;org&gt;/inference</w:t>
            </w:r>
            <w:r>
              <w:t xml:space="preserve">)</w:t>
            </w:r>
          </w:p>
        </w:tc>
        <w:tc>
          <w:tcPr>
            <w:tcW w:w="2340" w:type="dxa"/>
          </w:tcPr>
          <w:p>
            <w:pPr/>
            <w:r>
              <w:t xml:space="preserve">PAT bzw. App-Token mit </w:t>
            </w:r>
            <w:r>
              <w:rPr>
                <w:rStyle w:val="CodeChar"/>
              </w:rPr>
              <w:t xml:space="preserve">models:read</w:t>
            </w:r>
          </w:p>
        </w:tc>
        <w:tc>
          <w:tcPr>
            <w:tcW w:w="2340" w:type="dxa"/>
          </w:tcPr>
          <w:p>
            <w:pPr/>
            <w:r>
              <w:t xml:space="preserve">GPT-4.1, GPT-4.1 mini, Llama 4 Maverick</w:t>
            </w:r>
          </w:p>
        </w:tc>
      </w:tr>
      <w:tr>
        <w:tc>
          <w:tcPr>
            <w:tcW w:w="2340" w:type="dxa"/>
          </w:tcPr>
          <w:p>
            <w:pPr/>
            <w:r>
              <w:t xml:space="preserve">OpenAI-kompatibel</w:t>
            </w:r>
          </w:p>
        </w:tc>
        <w:tc>
          <w:tcPr>
            <w:tcW w:w="2340" w:type="dxa"/>
          </w:tcPr>
          <w:p>
            <w:pPr/>
            <w:r>
              <w:t xml:space="preserve">Beliebige Basis-URL (Azure OpenAI, vLLM, Ollama, LiteLLM)</w:t>
            </w:r>
          </w:p>
        </w:tc>
        <w:tc>
          <w:tcPr>
            <w:tcW w:w="2340" w:type="dxa"/>
          </w:tcPr>
          <w:p>
            <w:pPr/>
            <w:r>
              <w:t xml:space="preserve">API-Key</w:t>
            </w:r>
          </w:p>
        </w:tc>
        <w:tc>
          <w:tcPr>
            <w:tcW w:w="2340" w:type="dxa"/>
          </w:tcPr>
          <w:p>
            <w:pPr/>
            <w:r>
              <w:t xml:space="preserve">frei eintragen</w:t>
            </w:r>
          </w:p>
        </w:tc>
      </w:tr>
    </w:tbl>
    <w:p>
      <w:pPr/>
      <w:r>
        <w:rPr>
          <w:b/>
        </w:rPr>
        <w:t xml:space="preserve">Modell-Eintrag:</w:t>
      </w:r>
      <w:r>
        <w:t xml:space="preserve"> Anbieter, Modell-ID, Anzeigename, „versteht Bilder“, aktiv, Standard, Sortierung. Die Vorlagen sind Startwerte; Modell-IDs ändern sich bei den Anbietern regelmäßig und müssen vor dem Go-live gegen die aktuellen Kataloge geprüft werden.</w:t>
      </w:r>
    </w:p>
    <w:p>
      <w:pPr/>
      <w:r>
        <w:t xml:space="preserve">Deaktiviert ein Admin einen Anbieter, verschwinden alle seine Modelle sofort aus der Auswahl; bestehende Chats bleiben lesbar.</w:t>
      </w:r>
    </w:p>
    <w:p>
      <w:pPr>
        <w:pStyle w:val="Heading3"/>
      </w:pPr>
      <w:r>
        <w:t xml:space="preserve">Anbindung im Detail</w:t>
      </w:r>
    </w:p>
    <w:p>
      <w:pPr/>
      <w:r>
        <w:t xml:space="preserve">Alle Modellaufrufe laufen im Serverprozess über das Vercel AI SDK. Bei jeder Chat-Anfrage lädt der Server Modell und Anbieter aus PostgreSQL, entschlüsselt die Zugangsdaten und erzeugt den SDK-Client (</w:t>
      </w:r>
      <w:r>
        <w:rPr>
          <w:rStyle w:val="CodeChar"/>
        </w:rPr>
        <w:t xml:space="preserve">server/src/ai/providers.ts</w:t>
      </w:r>
      <w:r>
        <w:t xml:space="preserve">). Es wird nichts zwischengespeichert: Neue Schlüssel, Deaktivierungen und neue Modelle wirken ohne Neustart ab der nächsten Nachricht; Anbieter sind bewusst keine Umgebungsvariablen.</w:t>
      </w:r>
    </w:p>
    <w:tbl>
      <w:tblPr>
        <w:tblStyle w:val="TableGrid"/>
        <w:tblW w:w="0" w:type="auto"/>
        <w:tblLayout w:type="fixed"/>
        <w:tblLook w:val="04A0" w:firstRow="1" w:lastRow="0" w:firstColumn="0" w:lastColumn="0" w:noHBand="0" w:noVBand="1"/>
      </w:tblPr>
      <w:tblGrid>
        <w:gridCol w:w="1700"/>
        <w:gridCol w:w="2620"/>
        <w:gridCol w:w="2320"/>
        <w:gridCol w:w="2720"/>
      </w:tblGrid>
      <w:tr>
        <w:trPr>
          <w:tblHeader/>
        </w:trPr>
        <w:tc>
          <w:tcPr>
            <w:tcW w:w="1700" w:type="dxa"/>
            <w:shd w:val="clear" w:color="auto" w:fill="F2F2F2"/>
          </w:tcPr>
          <w:p>
            <w:pPr/>
            <w:r>
              <w:t xml:space="preserve">Anbieter-Typ</w:t>
            </w:r>
          </w:p>
        </w:tc>
        <w:tc>
          <w:tcPr>
            <w:tcW w:w="2620" w:type="dxa"/>
            <w:shd w:val="clear" w:color="auto" w:fill="F2F2F2"/>
          </w:tcPr>
          <w:p>
            <w:pPr/>
            <w:r>
              <w:t xml:space="preserve">Aufgerufener Endpunkt</w:t>
            </w:r>
          </w:p>
        </w:tc>
        <w:tc>
          <w:tcPr>
            <w:tcW w:w="2320" w:type="dxa"/>
            <w:shd w:val="clear" w:color="auto" w:fill="F2F2F2"/>
          </w:tcPr>
          <w:p>
            <w:pPr/>
            <w:r>
              <w:t xml:space="preserve">Anmeldung</w:t>
            </w:r>
          </w:p>
        </w:tc>
        <w:tc>
          <w:tcPr>
            <w:tcW w:w="2720" w:type="dxa"/>
            <w:shd w:val="clear" w:color="auto" w:fill="F2F2F2"/>
          </w:tcPr>
          <w:p>
            <w:pPr/>
            <w:r>
              <w:t xml:space="preserve">Betriebshinweise</w:t>
            </w:r>
          </w:p>
        </w:tc>
      </w:tr>
      <w:tr>
        <w:tc>
          <w:tcPr>
            <w:tcW w:w="1700" w:type="dxa"/>
          </w:tcPr>
          <w:p>
            <w:pPr/>
            <w:r>
              <w:t xml:space="preserve">Anthropic Claude</w:t>
            </w:r>
          </w:p>
        </w:tc>
        <w:tc>
          <w:tcPr>
            <w:tcW w:w="2620" w:type="dxa"/>
          </w:tcPr>
          <w:p>
            <w:pPr/>
            <w:r>
              <w:t xml:space="preserve">Messages API </w:t>
            </w:r>
            <w:r>
              <w:rPr>
                <w:rStyle w:val="CodeChar"/>
              </w:rPr>
              <w:t xml:space="preserve">&lt;basis&gt;/messages</w:t>
            </w:r>
            <w:r>
              <w:t xml:space="preserve">, Standard </w:t>
            </w:r>
            <w:r>
              <w:rPr>
                <w:rStyle w:val="CodeChar"/>
              </w:rPr>
              <w:t xml:space="preserve">https://api.anthropic.com/v1</w:t>
            </w:r>
          </w:p>
        </w:tc>
        <w:tc>
          <w:tcPr>
            <w:tcW w:w="2320" w:type="dxa"/>
          </w:tcPr>
          <w:p>
            <w:pPr/>
            <w:r>
              <w:t xml:space="preserve">API-Schlüssel (</w:t>
            </w:r>
            <w:r>
              <w:rPr>
                <w:rStyle w:val="CodeChar"/>
              </w:rPr>
              <w:t xml:space="preserve">x-api-key</w:t>
            </w:r>
            <w:r>
              <w:t xml:space="preserve">)</w:t>
            </w:r>
          </w:p>
        </w:tc>
        <w:tc>
          <w:tcPr>
            <w:tcW w:w="2720" w:type="dxa"/>
          </w:tcPr>
          <w:p>
            <w:pPr/>
            <w:r>
              <w:t xml:space="preserve">Eigene Basis-URL für ein Gateway muss </w:t>
            </w:r>
            <w:r>
              <w:rPr>
                <w:rStyle w:val="CodeChar"/>
              </w:rPr>
              <w:t xml:space="preserve">/v1</w:t>
            </w:r>
            <w:r>
              <w:t xml:space="preserve"> enthalten</w:t>
            </w:r>
          </w:p>
        </w:tc>
      </w:tr>
      <w:tr>
        <w:tc>
          <w:tcPr>
            <w:tcW w:w="1700" w:type="dxa"/>
          </w:tcPr>
          <w:p>
            <w:pPr/>
            <w:r>
              <w:t xml:space="preserve">AWS Bedrock</w:t>
            </w:r>
          </w:p>
        </w:tc>
        <w:tc>
          <w:tcPr>
            <w:tcW w:w="2620" w:type="dxa"/>
          </w:tcPr>
          <w:p>
            <w:pPr/>
            <w:r>
              <w:t xml:space="preserve">Converse API </w:t>
            </w:r>
            <w:r>
              <w:rPr>
                <w:rStyle w:val="CodeChar"/>
              </w:rPr>
              <w:t xml:space="preserve">bedrock-runtime.&lt;region&gt;.amazonaws.com/model/&lt;id&gt;/converse-stream</w:t>
            </w:r>
          </w:p>
        </w:tc>
        <w:tc>
          <w:tcPr>
            <w:tcW w:w="2320" w:type="dxa"/>
          </w:tcPr>
          <w:p>
            <w:pPr/>
            <w:r>
              <w:t xml:space="preserve">Access Key + Secret (SigV4) oder Bedrock-API-Key (Bearer); Session-Token nur per API</w:t>
            </w:r>
          </w:p>
        </w:tc>
        <w:tc>
          <w:tcPr>
            <w:tcW w:w="2720" w:type="dxa"/>
          </w:tcPr>
          <w:p>
            <w:pPr/>
            <w:r>
              <w:t xml:space="preserve">Modell-IDs von Inference-Profiles (</w:t>
            </w:r>
            <w:r>
              <w:rPr>
                <w:rStyle w:val="CodeChar"/>
              </w:rPr>
              <w:t xml:space="preserve">eu.…</w:t>
            </w:r>
            <w:r>
              <w:t xml:space="preserve">); IAM </w:t>
            </w:r>
            <w:r>
              <w:rPr>
                <w:rStyle w:val="CodeChar"/>
              </w:rPr>
              <w:t xml:space="preserve">bedrock:InvokeModel</w:t>
            </w:r>
            <w:r>
              <w:t xml:space="preserve"> + </w:t>
            </w:r>
            <w:r>
              <w:rPr>
                <w:rStyle w:val="CodeChar"/>
              </w:rPr>
              <w:t xml:space="preserve">bedrock:InvokeModelWithResponseStream</w:t>
            </w:r>
            <w:r>
              <w:t xml:space="preserve">; keine AWS-Credential-Chain (Entscheidung #18); VPC-Endpunkt über Basis-URL</w:t>
            </w:r>
          </w:p>
        </w:tc>
      </w:tr>
      <w:tr>
        <w:tc>
          <w:tcPr>
            <w:tcW w:w="1700" w:type="dxa"/>
          </w:tcPr>
          <w:p>
            <w:pPr/>
            <w:r>
              <w:t xml:space="preserve">GitHub Models / Enterprise</w:t>
            </w:r>
          </w:p>
        </w:tc>
        <w:tc>
          <w:tcPr>
            <w:tcW w:w="2620" w:type="dxa"/>
          </w:tcPr>
          <w:p>
            <w:pPr/>
            <w:r>
              <w:rPr>
                <w:rStyle w:val="CodeChar"/>
              </w:rPr>
              <w:t xml:space="preserve">models.github.ai/inference/chat/completions</w:t>
            </w:r>
            <w:r>
              <w:t xml:space="preserve">, mit Organisation </w:t>
            </w:r>
            <w:r>
              <w:rPr>
                <w:rStyle w:val="CodeChar"/>
              </w:rPr>
              <w:t xml:space="preserve">/orgs/&lt;org&gt;/inference</w:t>
            </w:r>
          </w:p>
        </w:tc>
        <w:tc>
          <w:tcPr>
            <w:tcW w:w="2320" w:type="dxa"/>
          </w:tcPr>
          <w:p>
            <w:pPr/>
            <w:r>
              <w:t xml:space="preserve">Token mit </w:t>
            </w:r>
            <w:r>
              <w:rPr>
                <w:rStyle w:val="CodeChar"/>
              </w:rPr>
              <w:t xml:space="preserve">models:read</w:t>
            </w:r>
            <w:r>
              <w:t xml:space="preserve"> (Bearer)</w:t>
            </w:r>
          </w:p>
        </w:tc>
        <w:tc>
          <w:tcPr>
            <w:tcW w:w="2720" w:type="dxa"/>
          </w:tcPr>
          <w:p>
            <w:pPr/>
            <w:r>
              <w:t xml:space="preserve">Org-Endpunkt wendet Modellrichtlinien und Abrechnung der Organisation an; Free-Tier mit niedrigen Rate-Limits</w:t>
            </w:r>
          </w:p>
        </w:tc>
      </w:tr>
      <w:tr>
        <w:tc>
          <w:tcPr>
            <w:tcW w:w="1700" w:type="dxa"/>
          </w:tcPr>
          <w:p>
            <w:pPr/>
            <w:r>
              <w:t xml:space="preserve">OpenAI-kompatibel</w:t>
            </w:r>
          </w:p>
        </w:tc>
        <w:tc>
          <w:tcPr>
            <w:tcW w:w="2620" w:type="dxa"/>
          </w:tcPr>
          <w:p>
            <w:pPr/>
            <w:r>
              <w:rPr>
                <w:rStyle w:val="CodeChar"/>
              </w:rPr>
              <w:t xml:space="preserve">&lt;Basis-URL&gt;/chat/completions</w:t>
            </w:r>
            <w:r>
              <w:t xml:space="preserve">, Embeddings </w:t>
            </w:r>
            <w:r>
              <w:rPr>
                <w:rStyle w:val="CodeChar"/>
              </w:rPr>
              <w:t xml:space="preserve">&lt;Basis-URL&gt;/embeddings</w:t>
            </w:r>
          </w:p>
        </w:tc>
        <w:tc>
          <w:tcPr>
            <w:tcW w:w="2320" w:type="dxa"/>
          </w:tcPr>
          <w:p>
            <w:pPr/>
            <w:r>
              <w:t xml:space="preserve">API-Schlüssel als Bearer, optional</w:t>
            </w:r>
          </w:p>
        </w:tc>
        <w:tc>
          <w:tcPr>
            <w:tcW w:w="2720" w:type="dxa"/>
          </w:tcPr>
          <w:p>
            <w:pPr/>
            <w:r>
              <w:t xml:space="preserve">Azure OpenAI (v1-API, Deployment-Name als Modell-ID), Ollama, vLLM, TEI, LiteLLM; Function Calling hängt von Modell und Server ab</w:t>
            </w:r>
          </w:p>
        </w:tc>
      </w:tr>
    </w:tbl>
    <w:p>
      <w:pPr/>
      <w:r>
        <w:t xml:space="preserve">Die Modellauswahl zeigt Anzeigename und Anbieter; Hinweise wie „lokal“ oder „EU“ gehören daher in den Anzeigenamen. Für Chat-Modelle gibt es keinen eigenen Verbindungstest – dafür dient eine Testnachricht; das Embedding-Modell wird beim Speichern getestet.</w:t>
      </w:r>
    </w:p>
    <w:p>
      <w:pPr>
        <w:pStyle w:val="Heading3"/>
      </w:pPr>
      <w:r>
        <w:t xml:space="preserve">Anfrage und Datenfluss zum Anbieter</w:t>
      </w:r>
    </w:p>
    <w:p>
      <w:pPr/>
      <w:r>
        <w:t xml:space="preserve">Jede Nachricht erzeugt eine Streaming-Anfrage (das SDK wiederholt fehlgeschlagene Anfragen zweimal). Sie enthält:</w:t>
      </w:r>
    </w:p>
    <w:p>
      <w:pPr>
        <w:pStyle w:val="ListParagraph"/>
        <w:numPr>
          <w:ilvl w:val="0"/>
          <w:numId w:val="5"/>
        </w:numPr>
      </w:pPr>
      <w:r>
        <w:rPr>
          <w:b/>
        </w:rPr>
        <w:t xml:space="preserve">Systemprompt:</w:t>
      </w:r>
      <w:r>
        <w:t xml:space="preserve"> fester Portal-Prompt (Rolle, Datum, Antwortstil), dazu Anweisungen zur Wissensdatenbank, wenn das Such-Tool aktiv ist, und ein Sprachhinweis bei englischer Oberfläche.</w:t>
      </w:r>
    </w:p>
    <w:p>
      <w:pPr>
        <w:pStyle w:val="ListParagraph"/>
        <w:numPr>
          <w:ilvl w:val="0"/>
          <w:numId w:val="5"/>
        </w:numPr>
      </w:pPr>
      <w:r>
        <w:rPr>
          <w:b/>
        </w:rPr>
        <w:t xml:space="preserve">Verlauf:</w:t>
      </w:r>
      <w:r>
        <w:t xml:space="preserve"> alle bisherigen Nachrichten des Chats einschließlich des extrahierten Texts früherer Anhänge – ohne Kürzung; über dem Kontextfenster lehnt der Anbieter ab.</w:t>
      </w:r>
    </w:p>
    <w:p>
      <w:pPr>
        <w:pStyle w:val="ListParagraph"/>
        <w:numPr>
          <w:ilvl w:val="0"/>
          <w:numId w:val="5"/>
        </w:numPr>
      </w:pPr>
      <w:r>
        <w:rPr>
          <w:b/>
        </w:rPr>
        <w:t xml:space="preserve">Neue Nachricht:</w:t>
      </w:r>
      <w:r>
        <w:t xml:space="preserve"> extrahierter Anhangstext vor der Frage; Bilder als Bildteile nur bei Modellen mit „versteht Bilder“.</w:t>
      </w:r>
    </w:p>
    <w:p>
      <w:pPr>
        <w:pStyle w:val="ListParagraph"/>
        <w:numPr>
          <w:ilvl w:val="0"/>
          <w:numId w:val="5"/>
        </w:numPr>
      </w:pPr>
      <w:r>
        <w:rPr>
          <w:b/>
        </w:rPr>
        <w:t xml:space="preserve">Tools:</w:t>
      </w:r>
      <w:r>
        <w:t xml:space="preserve"> Definitionen der aktiven MCP-Tools des Benutzers und der Wissenssuche; deren Ergebnisse (MCP-Ausgaben, Textstellen) gehen im Loop zurück an das Modell, max. </w:t>
      </w:r>
      <w:r>
        <w:rPr>
          <w:rStyle w:val="CodeChar"/>
        </w:rPr>
        <w:t xml:space="preserve">MAX_TOOL_STEPS</w:t>
      </w:r>
      <w:r>
        <w:t xml:space="preserve"> Runden. Modelle ohne Function Calling scheitern, sobald Tools mitgeschickt werden.</w:t>
      </w:r>
    </w:p>
    <w:p>
      <w:pPr>
        <w:pStyle w:val="ListParagraph"/>
        <w:numPr>
          <w:ilvl w:val="0"/>
          <w:numId w:val="5"/>
        </w:numPr>
      </w:pPr>
      <w:r>
        <w:rPr>
          <w:b/>
        </w:rPr>
        <w:t xml:space="preserve">Embeddings:</w:t>
      </w:r>
      <w:r>
        <w:t xml:space="preserve"> Beim Indexieren geht jeder Textabschnitt, bei jeder Suche die Suchanfrage an den Embedding-Anbieter; ein lokales Modell hält Dokumente im Haus.</w:t>
      </w:r>
    </w:p>
    <w:p>
      <w:pPr/>
      <w:r>
        <w:t xml:space="preserve">Die Antwort wird als NDJSON an den Browser gestreamt; Schließen des Tabs bricht die Anfrage beim Anbieter ab. Der Tokenverbrauch wird pro Nachricht und in den Audit-Einträgen </w:t>
      </w:r>
      <w:r>
        <w:rPr>
          <w:rStyle w:val="CodeChar"/>
        </w:rPr>
        <w:t xml:space="preserve">chat.completion</w:t>
      </w:r>
      <w:r>
        <w:t xml:space="preserve"> / </w:t>
      </w:r>
      <w:r>
        <w:rPr>
          <w:rStyle w:val="CodeChar"/>
        </w:rPr>
        <w:t xml:space="preserve">chat.error</w:t>
      </w:r>
      <w:r>
        <w:t xml:space="preserve"> mit Modell, Anbieter und Dauer gespeichert.</w:t>
      </w:r>
    </w:p>
    <w:p>
      <w:pPr>
        <w:pStyle w:val="Heading3"/>
      </w:pPr>
      <w:r>
        <w:t xml:space="preserve">Netzwerk und Betrieb</w:t>
      </w:r>
    </w:p>
    <w:p>
      <w:pPr>
        <w:pStyle w:val="ListParagraph"/>
        <w:numPr>
          <w:ilvl w:val="0"/>
          <w:numId w:val="5"/>
        </w:numPr>
      </w:pPr>
      <w:r>
        <w:rPr>
          <w:b/>
        </w:rPr>
        <w:t xml:space="preserve">Egress:</w:t>
      </w:r>
      <w:r>
        <w:t xml:space="preserve"> HTTPS nur zu den eingetragenen Endpunkten; die NetworkPolicy beschränkt bisher nur eingehenden Verkehr, Egress-Regeln sind ein offener Punkt.</w:t>
      </w:r>
    </w:p>
    <w:p>
      <w:pPr>
        <w:pStyle w:val="ListParagraph"/>
        <w:numPr>
          <w:ilvl w:val="0"/>
          <w:numId w:val="5"/>
        </w:numPr>
      </w:pPr>
      <w:r>
        <w:rPr>
          <w:b/>
        </w:rPr>
        <w:t xml:space="preserve">Proxy:</w:t>
      </w:r>
      <w:r>
        <w:t xml:space="preserve"> Node.js beachtet </w:t>
      </w:r>
      <w:r>
        <w:rPr>
          <w:rStyle w:val="CodeChar"/>
        </w:rPr>
        <w:t xml:space="preserve">HTTPS_PROXY</w:t>
      </w:r>
      <w:r>
        <w:t xml:space="preserve"> / </w:t>
      </w:r>
      <w:r>
        <w:rPr>
          <w:rStyle w:val="CodeChar"/>
        </w:rPr>
        <w:t xml:space="preserve">NO_PROXY</w:t>
      </w:r>
      <w:r>
        <w:t xml:space="preserve"> nur mit </w:t>
      </w:r>
      <w:r>
        <w:rPr>
          <w:rStyle w:val="CodeChar"/>
        </w:rPr>
        <w:t xml:space="preserve">NODE_USE_ENV_PROXY=1</w:t>
      </w:r>
      <w:r>
        <w:t xml:space="preserve"> – dann für alle </w:t>
      </w:r>
      <w:r>
        <w:rPr>
          <w:rStyle w:val="CodeChar"/>
        </w:rPr>
        <w:t xml:space="preserve">fetch</w:t>
      </w:r>
      <w:r>
        <w:t xml:space="preserve">-Aufrufe (Anbieter, Embeddings, MCP-Server); interne CAs über </w:t>
      </w:r>
      <w:r>
        <w:rPr>
          <w:rStyle w:val="CodeChar"/>
        </w:rPr>
        <w:t xml:space="preserve">NODE_EXTRA_CA_CERTS</w:t>
      </w:r>
      <w:r>
        <w:t xml:space="preserve">.</w:t>
      </w:r>
    </w:p>
    <w:p>
      <w:pPr>
        <w:pStyle w:val="ListParagraph"/>
        <w:numPr>
          <w:ilvl w:val="0"/>
          <w:numId w:val="5"/>
        </w:numPr>
      </w:pPr>
      <w:r>
        <w:rPr>
          <w:b/>
        </w:rPr>
        <w:t xml:space="preserve">Änderungen:</w:t>
      </w:r>
      <w:r>
        <w:t xml:space="preserve"> Basis-URL, Region und Organisation lassen sich in der Oberfläche nur beim Anlegen setzen, später per </w:t>
      </w:r>
      <w:r>
        <w:rPr>
          <w:rStyle w:val="CodeChar"/>
        </w:rPr>
        <w:t xml:space="preserve">PATCH /api/admin/providers/:id</w:t>
      </w:r>
      <w:r>
        <w:t xml:space="preserve">; die Schaltfläche „Schlüssel“ speichert einen API-Schlüssel (bei Bedrock ersetzt sie die Access Keys).</w:t>
      </w:r>
    </w:p>
    <w:p>
      <w:pPr>
        <w:pStyle w:val="ListParagraph"/>
        <w:numPr>
          <w:ilvl w:val="0"/>
          <w:numId w:val="5"/>
        </w:numPr>
      </w:pPr>
      <w:r>
        <w:rPr>
          <w:b/>
        </w:rPr>
        <w:t xml:space="preserve">Dokumentation:</w:t>
      </w:r>
      <w:r>
        <w:t xml:space="preserve"> </w:t>
      </w:r>
      <w:r>
        <w:rPr>
          <w:rStyle w:val="CodeChar"/>
        </w:rPr>
        <w:t xml:space="preserve">docs/llm-providers.md</w:t>
      </w:r>
      <w:r>
        <w:t xml:space="preserve"> bzw. Abschnitt „KI-Anbieter anbinden“ in </w:t>
      </w:r>
      <w:r>
        <w:rPr>
          <w:rStyle w:val="CodeChar"/>
        </w:rPr>
        <w:t xml:space="preserve">README.de.md</w:t>
      </w:r>
      <w:r>
        <w:t xml:space="preserve"> mit IAM-Policy, Basis-URL-Beispielen für Azure OpenAI, Ollama, vLLM, TEI und LiteLLM sowie Fehlerbildern.</w:t>
      </w:r>
    </w:p>
    <w:p>
      <w:pPr>
        <w:pStyle w:val="Heading2"/>
      </w:pPr>
      <w:r>
        <w:t xml:space="preserve">MCP-Server pro Benutzer</w:t>
      </w:r>
    </w:p>
    <w:p>
      <w:pPr/>
      <w:r>
        <w:t xml:space="preserve">Jeder Benutzer trägt eigene Remote-MCP-Server ein; bei jeder Chat-Anfrage verbindet sich der Server mit allen aktiven Einträgen dieses Benutzers und stellt deren Tools dem Modell zur Verfügung. Andere Benutzer sehen oder nutzen diese Server nie.</w:t>
      </w:r>
    </w:p>
    <w:p>
      <w:pPr>
        <w:pStyle w:val="ListParagraph"/>
        <w:numPr>
          <w:ilvl w:val="0"/>
          <w:numId w:val="5"/>
        </w:numPr>
      </w:pPr>
      <w:r>
        <w:rPr>
          <w:b/>
        </w:rPr>
        <w:t xml:space="preserve">Konfiguration:</w:t>
      </w:r>
      <w:r>
        <w:t xml:space="preserve"> Name, URL, Transport (Streamable HTTP oder älteres SSE), beliebige HTTP-Header (z. B. </w:t>
      </w:r>
      <w:r>
        <w:rPr>
          <w:rStyle w:val="CodeChar"/>
        </w:rPr>
        <w:t xml:space="preserve">Authorization: Bearer …</w:t>
      </w:r>
      <w:r>
        <w:t xml:space="preserve">) – Header verschlüsselt gespeichert, in der UI nur ihre Namen sichtbar.</w:t>
      </w:r>
    </w:p>
    <w:p>
      <w:pPr>
        <w:pStyle w:val="ListParagraph"/>
        <w:numPr>
          <w:ilvl w:val="0"/>
          <w:numId w:val="5"/>
        </w:numPr>
      </w:pPr>
      <w:r>
        <w:rPr>
          <w:b/>
        </w:rPr>
        <w:t xml:space="preserve">Verbindungstest:</w:t>
      </w:r>
      <w:r>
        <w:t xml:space="preserve"> „Testen“ verbindet, listet die Tools und speichert Status und Anzahl.</w:t>
      </w:r>
    </w:p>
    <w:p>
      <w:pPr>
        <w:pStyle w:val="ListParagraph"/>
        <w:numPr>
          <w:ilvl w:val="0"/>
          <w:numId w:val="5"/>
        </w:numPr>
      </w:pPr>
      <w:r>
        <w:rPr>
          <w:b/>
        </w:rPr>
        <w:t xml:space="preserve">Tool-Namen:</w:t>
      </w:r>
      <w:r>
        <w:t xml:space="preserve"> </w:t>
      </w:r>
      <w:r>
        <w:rPr>
          <w:rStyle w:val="CodeChar"/>
        </w:rPr>
        <w:t xml:space="preserve">&lt;servername&gt;__&lt;tool&gt;</w:t>
      </w:r>
      <w:r>
        <w:t xml:space="preserve">, damit gleichnamige Tools verschiedener Server nicht kollidieren.</w:t>
      </w:r>
    </w:p>
    <w:p>
      <w:pPr>
        <w:pStyle w:val="ListParagraph"/>
        <w:numPr>
          <w:ilvl w:val="0"/>
          <w:numId w:val="5"/>
        </w:numPr>
      </w:pPr>
      <w:r>
        <w:rPr>
          <w:b/>
        </w:rPr>
        <w:t xml:space="preserve">Tool-Schleife:</w:t>
      </w:r>
      <w:r>
        <w:t xml:space="preserve"> Das AI SDK führt Tool-Aufrufe serverseitig aus und schickt Ergebnisse zurück ans Modell, bis zu </w:t>
      </w:r>
      <w:r>
        <w:rPr>
          <w:rStyle w:val="CodeChar"/>
        </w:rPr>
        <w:t xml:space="preserve">MAX_TOOL_STEPS</w:t>
      </w:r>
      <w:r>
        <w:t xml:space="preserve"> (Standard 8) Runden.</w:t>
      </w:r>
    </w:p>
    <w:p>
      <w:pPr>
        <w:pStyle w:val="ListParagraph"/>
        <w:numPr>
          <w:ilvl w:val="0"/>
          <w:numId w:val="5"/>
        </w:numPr>
      </w:pPr>
      <w:r>
        <w:rPr>
          <w:b/>
        </w:rPr>
        <w:t xml:space="preserve">Grenzen:</w:t>
      </w:r>
      <w:r>
        <w:t xml:space="preserve"> 10 s Verbindungsaufbau, 60 s pro Tool-Aufruf; ein nicht erreichbarer Server wird im Chat gemeldet, der Rest läuft weiter.</w:t>
      </w:r>
    </w:p>
    <w:p>
      <w:pPr>
        <w:pStyle w:val="ListParagraph"/>
        <w:numPr>
          <w:ilvl w:val="0"/>
          <w:numId w:val="5"/>
        </w:numPr>
      </w:pPr>
      <w:r>
        <w:rPr>
          <w:b/>
        </w:rPr>
        <w:t xml:space="preserve">Sichtbarkeit:</w:t>
      </w:r>
      <w:r>
        <w:t xml:space="preserve"> Tool-Aufrufe erscheinen im Chat als aufklappbare Zeile mit Eingabe und Ergebnis; ein Schalter „MCP-Tools“ deaktiviert sie pro Nachricht.</w:t>
      </w:r>
    </w:p>
    <w:p>
      <w:pPr>
        <w:pStyle w:val="ListParagraph"/>
        <w:numPr>
          <w:ilvl w:val="0"/>
          <w:numId w:val="5"/>
        </w:numPr>
      </w:pPr>
      <w:r>
        <w:rPr>
          <w:b/>
        </w:rPr>
        <w:t xml:space="preserve">SSRF-Schutz:</w:t>
      </w:r>
      <w:r>
        <w:t xml:space="preserve"> Nur http(s); mit </w:t>
      </w:r>
      <w:r>
        <w:rPr>
          <w:rStyle w:val="CodeChar"/>
        </w:rPr>
        <w:t xml:space="preserve">MCP_ALLOW_PRIVATE_NETWORKS=false</w:t>
      </w:r>
      <w:r>
        <w:t xml:space="preserve"> werden private Adressbereiche blockiert. Standard ist </w:t>
      </w:r>
      <w:r>
        <w:rPr>
          <w:rStyle w:val="CodeChar"/>
        </w:rPr>
        <w:t xml:space="preserve">true</w:t>
      </w:r>
      <w:r>
        <w:t xml:space="preserve">, weil interne MCP-Server der Normalfall sind.</w:t>
      </w:r>
    </w:p>
    <w:p>
      <w:pPr/>
      <w:r>
        <w:t xml:space="preserve">OAuth-geschützte MCP-Server (MCP-Authorization-Flow mit Browser-Redirect) sind in Version 1 nicht enthalten; statische Tokens decken die meisten internen Server ab.</w:t>
      </w:r>
    </w:p>
    <w:p>
      <w:pPr>
        <w:pStyle w:val="Heading2"/>
      </w:pPr>
      <w:r>
        <w:t xml:space="preserve">Uploads</w:t>
      </w:r>
    </w:p>
    <w:p>
      <w:pPr/>
      <w:r>
        <w:t xml:space="preserve">Dateien werden per Knopf, Drag-and-drop oder Einfügen aus der Zwischenablage angehängt, serverseitig zu Text extrahiert und als </w:t>
      </w:r>
      <w:r>
        <w:rPr>
          <w:rStyle w:val="CodeChar"/>
        </w:rPr>
        <w:t xml:space="preserve">&lt;datei name="…"&gt;</w:t>
      </w:r>
      <w:r>
        <w:t xml:space="preserve">-Block vor die Frage gesetzt. Bis zu 10 Dateien pro Upload, standardmäßig maximal 20 MB je Datei.</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Format</w:t>
            </w:r>
          </w:p>
        </w:tc>
        <w:tc>
          <w:tcPr>
            <w:tcW w:w="4680" w:type="dxa"/>
            <w:shd w:val="clear" w:color="auto" w:fill="F2F2F2"/>
          </w:tcPr>
          <w:p>
            <w:pPr/>
            <w:r>
              <w:t xml:space="preserve">Verarbeitung</w:t>
            </w:r>
          </w:p>
        </w:tc>
      </w:tr>
      <w:tr>
        <w:tc>
          <w:tcPr>
            <w:tcW w:w="4680" w:type="dxa"/>
          </w:tcPr>
          <w:p>
            <w:pPr/>
            <w:r>
              <w:t xml:space="preserve">Text, Logs, Code, Konfiguration (über 50 Endungen), CSV, JSON, YAML, XML</w:t>
            </w:r>
          </w:p>
        </w:tc>
        <w:tc>
          <w:tcPr>
            <w:tcW w:w="4680" w:type="dxa"/>
          </w:tcPr>
          <w:p>
            <w:pPr/>
            <w:r>
              <w:t xml:space="preserve">UTF-8-Text</w:t>
            </w:r>
          </w:p>
        </w:tc>
      </w:tr>
      <w:tr>
        <w:tc>
          <w:tcPr>
            <w:tcW w:w="4680" w:type="dxa"/>
          </w:tcPr>
          <w:p>
            <w:pPr/>
            <w:r>
              <w:t xml:space="preserve">PDF</w:t>
            </w:r>
          </w:p>
        </w:tc>
        <w:tc>
          <w:tcPr>
            <w:tcW w:w="4680" w:type="dxa"/>
          </w:tcPr>
          <w:p>
            <w:pPr/>
            <w:r>
              <w:t xml:space="preserve">Textextraktion mit </w:t>
            </w:r>
            <w:r>
              <w:rPr>
                <w:rStyle w:val="CodeChar"/>
              </w:rPr>
              <w:t xml:space="preserve">unpdf</w:t>
            </w:r>
          </w:p>
        </w:tc>
      </w:tr>
      <w:tr>
        <w:tc>
          <w:tcPr>
            <w:tcW w:w="4680" w:type="dxa"/>
          </w:tcPr>
          <w:p>
            <w:pPr/>
            <w:r>
              <w:t xml:space="preserve">DOCX</w:t>
            </w:r>
          </w:p>
        </w:tc>
        <w:tc>
          <w:tcPr>
            <w:tcW w:w="4680" w:type="dxa"/>
          </w:tcPr>
          <w:p>
            <w:pPr/>
            <w:r>
              <w:t xml:space="preserve">Textextraktion mit </w:t>
            </w:r>
            <w:r>
              <w:rPr>
                <w:rStyle w:val="CodeChar"/>
              </w:rPr>
              <w:t xml:space="preserve">mammoth</w:t>
            </w:r>
          </w:p>
        </w:tc>
      </w:tr>
      <w:tr>
        <w:tc>
          <w:tcPr>
            <w:tcW w:w="4680" w:type="dxa"/>
          </w:tcPr>
          <w:p>
            <w:pPr/>
            <w:r>
              <w:t xml:space="preserve">PNG, JPEG, GIF, WebP</w:t>
            </w:r>
          </w:p>
        </w:tc>
        <w:tc>
          <w:tcPr>
            <w:tcW w:w="4680" w:type="dxa"/>
          </w:tcPr>
          <w:p>
            <w:pPr/>
            <w:r>
              <w:t xml:space="preserve">Als Bild ans Modell, wenn das Modell „versteht Bilder“ hat</w:t>
            </w:r>
          </w:p>
        </w:tc>
      </w:tr>
      <w:tr>
        <w:tc>
          <w:tcPr>
            <w:tcW w:w="4680" w:type="dxa"/>
          </w:tcPr>
          <w:p>
            <w:pPr/>
            <w:r>
              <w:t xml:space="preserve">Sonstige</w:t>
            </w:r>
          </w:p>
        </w:tc>
        <w:tc>
          <w:tcPr>
            <w:tcW w:w="4680" w:type="dxa"/>
          </w:tcPr>
          <w:p>
            <w:pPr/>
            <w:r>
              <w:t xml:space="preserve">Gespeichert, aber mit Warnung nicht ans Modell übergeben</w:t>
            </w:r>
          </w:p>
        </w:tc>
      </w:tr>
    </w:tbl>
    <w:p>
      <w:pPr/>
      <w:r>
        <w:t xml:space="preserve">Extrahierter Text wird bei 300.000 Zeichen gekürzt. Jede Datei wird mit SHA-256 und Größe auditiert; herunterladen kann sie nur ihr Eigentümer. XLSX und PPTX fehlen in Version 1.</w:t>
      </w:r>
    </w:p>
    <w:p>
      <w:pPr>
        <w:pStyle w:val="Heading2"/>
      </w:pPr>
      <w:r>
        <w:t xml:space="preserve">Audit-Logging</w:t>
      </w:r>
    </w:p>
    <w:p>
      <w:pPr/>
      <w:r>
        <w:t xml:space="preserve">Jedes Audit-Ereignis wird doppelt geschrieben: als Zeile in </w:t>
      </w:r>
      <w:r>
        <w:rPr>
          <w:rStyle w:val="CodeChar"/>
        </w:rPr>
        <w:t xml:space="preserve">audit_log</w:t>
      </w:r>
      <w:r>
        <w:t xml:space="preserve"> (Admin-Ansicht mit Filter und CSV-Export) und als JSON-Zeile mit </w:t>
      </w:r>
      <w:r>
        <w:rPr>
          <w:rStyle w:val="CodeChar"/>
        </w:rPr>
        <w:t xml:space="preserve">"audit":true</w:t>
      </w:r>
      <w:r>
        <w:t xml:space="preserve"> auf stdout, die Loki, ELK oder Splunk ohne weitere Konfiguration einsammeln. Ein Fehler beim DB-Schreiben bricht die Anfrage nicht ab, landet aber als Fehler im Log. Audit-Einträge werden unabhängig von der Sprache der Oberfläche immer auf Englisch geschrieben; Fehlergründe und Fehlermeldungen werden vor dem Speichern übersetzt, ältere Einträge beim Start einmalig umgestellt.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Bereich</w:t>
            </w:r>
          </w:p>
        </w:tc>
        <w:tc>
          <w:tcPr>
            <w:tcW w:w="3120" w:type="dxa"/>
            <w:shd w:val="clear" w:color="auto" w:fill="F2F2F2"/>
          </w:tcPr>
          <w:p>
            <w:pPr/>
            <w:r>
              <w:t xml:space="preserve">Aktionen</w:t>
            </w:r>
          </w:p>
        </w:tc>
        <w:tc>
          <w:tcPr>
            <w:tcW w:w="3120" w:type="dxa"/>
            <w:shd w:val="clear" w:color="auto" w:fill="F2F2F2"/>
          </w:tcPr>
          <w:p>
            <w:pPr/>
            <w:r>
              <w:t xml:space="preserve">Details im Eintrag</w:t>
            </w:r>
          </w:p>
        </w:tc>
      </w:tr>
      <w:tr>
        <w:tc>
          <w:tcPr>
            <w:tcW w:w="3120" w:type="dxa"/>
          </w:tcPr>
          <w:p>
            <w:pPr/>
            <w:r>
              <w:t xml:space="preserve">Anmeldung</w:t>
            </w:r>
          </w:p>
        </w:tc>
        <w:tc>
          <w:tcPr>
            <w:tcW w:w="3120" w:type="dxa"/>
          </w:tcPr>
          <w:p>
            <w:pPr/>
            <w:r>
              <w:rPr>
                <w:rStyle w:val="CodeChar"/>
              </w:rPr>
              <w:t xml:space="preserve">auth.login</w:t>
            </w:r>
            <w:r>
              <w:t xml:space="preserve">, </w:t>
            </w:r>
            <w:r>
              <w:rPr>
                <w:rStyle w:val="CodeChar"/>
              </w:rPr>
              <w:t xml:space="preserve">auth.login_failed</w:t>
            </w:r>
            <w:r>
              <w:t xml:space="preserve">, </w:t>
            </w:r>
            <w:r>
              <w:rPr>
                <w:rStyle w:val="CodeChar"/>
              </w:rPr>
              <w:t xml:space="preserve">auth.logout</w:t>
            </w:r>
          </w:p>
        </w:tc>
        <w:tc>
          <w:tcPr>
            <w:tcW w:w="3120" w:type="dxa"/>
          </w:tcPr>
          <w:p>
            <w:pPr/>
            <w:r>
              <w:t xml:space="preserve">Methode, Fehlergrund</w:t>
            </w:r>
          </w:p>
        </w:tc>
      </w:tr>
      <w:tr>
        <w:tc>
          <w:tcPr>
            <w:tcW w:w="3120" w:type="dxa"/>
          </w:tcPr>
          <w:p>
            <w:pPr/>
            <w:r>
              <w:t xml:space="preserve">Administration</w:t>
            </w:r>
          </w:p>
        </w:tc>
        <w:tc>
          <w:tcPr>
            <w:tcW w:w="3120" w:type="dxa"/>
          </w:tcPr>
          <w:p>
            <w:pPr/>
            <w:r>
              <w:rPr>
                <w:rStyle w:val="CodeChar"/>
              </w:rPr>
              <w:t xml:space="preserve">user.*</w:t>
            </w:r>
            <w:r>
              <w:t xml:space="preserve">, </w:t>
            </w:r>
            <w:r>
              <w:rPr>
                <w:rStyle w:val="CodeChar"/>
              </w:rPr>
              <w:t xml:space="preserve">provider.*</w:t>
            </w:r>
            <w:r>
              <w:t xml:space="preserve">, </w:t>
            </w:r>
            <w:r>
              <w:rPr>
                <w:rStyle w:val="CodeChar"/>
              </w:rPr>
              <w:t xml:space="preserve">model.*</w:t>
            </w:r>
          </w:p>
        </w:tc>
        <w:tc>
          <w:tcPr>
            <w:tcW w:w="3120" w:type="dxa"/>
          </w:tcPr>
          <w:p>
            <w:pPr/>
            <w:r>
              <w:t xml:space="preserve">Geänderte Felder; bei Schlüsseln nur „Schlüssel geändert“, nie der Wert</w:t>
            </w:r>
          </w:p>
        </w:tc>
      </w:tr>
      <w:tr>
        <w:tc>
          <w:tcPr>
            <w:tcW w:w="3120" w:type="dxa"/>
          </w:tcPr>
          <w:p>
            <w:pPr/>
            <w:r>
              <w:t xml:space="preserve">MCP</w:t>
            </w:r>
          </w:p>
        </w:tc>
        <w:tc>
          <w:tcPr>
            <w:tcW w:w="3120" w:type="dxa"/>
          </w:tcPr>
          <w:p>
            <w:pPr/>
            <w:r>
              <w:rPr>
                <w:rStyle w:val="CodeChar"/>
              </w:rPr>
              <w:t xml:space="preserve">mcp.create/update/delete/test</w:t>
            </w:r>
            <w:r>
              <w:t xml:space="preserve">, </w:t>
            </w:r>
            <w:r>
              <w:rPr>
                <w:rStyle w:val="CodeChar"/>
              </w:rPr>
              <w:t xml:space="preserve">mcp.tool_call</w:t>
            </w:r>
          </w:p>
        </w:tc>
        <w:tc>
          <w:tcPr>
            <w:tcW w:w="3120" w:type="dxa"/>
          </w:tcPr>
          <w:p>
            <w:pPr/>
            <w:r>
              <w:t xml:space="preserve">Server, Tool, Dauer, Fehler</w:t>
            </w:r>
          </w:p>
        </w:tc>
      </w:tr>
      <w:tr>
        <w:tc>
          <w:tcPr>
            <w:tcW w:w="3120" w:type="dxa"/>
          </w:tcPr>
          <w:p>
            <w:pPr/>
            <w:r>
              <w:t xml:space="preserve">Chat</w:t>
            </w:r>
          </w:p>
        </w:tc>
        <w:tc>
          <w:tcPr>
            <w:tcW w:w="3120" w:type="dxa"/>
          </w:tcPr>
          <w:p>
            <w:pPr/>
            <w:r>
              <w:rPr>
                <w:rStyle w:val="CodeChar"/>
              </w:rPr>
              <w:t xml:space="preserve">chat.create</w:t>
            </w:r>
            <w:r>
              <w:t xml:space="preserve">, </w:t>
            </w:r>
            <w:r>
              <w:rPr>
                <w:rStyle w:val="CodeChar"/>
              </w:rPr>
              <w:t xml:space="preserve">chat.delete</w:t>
            </w:r>
            <w:r>
              <w:t xml:space="preserve">, </w:t>
            </w:r>
            <w:r>
              <w:rPr>
                <w:rStyle w:val="CodeChar"/>
              </w:rPr>
              <w:t xml:space="preserve">chat.prompt</w:t>
            </w:r>
            <w:r>
              <w:t xml:space="preserve">, </w:t>
            </w:r>
            <w:r>
              <w:rPr>
                <w:rStyle w:val="CodeChar"/>
              </w:rPr>
              <w:t xml:space="preserve">chat.completion</w:t>
            </w:r>
            <w:r>
              <w:t xml:space="preserve">, </w:t>
            </w:r>
            <w:r>
              <w:rPr>
                <w:rStyle w:val="CodeChar"/>
              </w:rPr>
              <w:t xml:space="preserve">chat.error</w:t>
            </w:r>
          </w:p>
        </w:tc>
        <w:tc>
          <w:tcPr>
            <w:tcW w:w="3120" w:type="dxa"/>
          </w:tcPr>
          <w:p>
            <w:pPr/>
            <w:r>
              <w:t xml:space="preserve">Modell, Anbieter, Zeichenzahl, Anhänge, Tokens, Dauer, Tool-Aufrufe, Nachrichten-IDs</w:t>
            </w:r>
          </w:p>
        </w:tc>
      </w:tr>
      <w:tr>
        <w:tc>
          <w:tcPr>
            <w:tcW w:w="3120" w:type="dxa"/>
          </w:tcPr>
          <w:p>
            <w:pPr/>
            <w:r>
              <w:t xml:space="preserve">Dateien</w:t>
            </w:r>
          </w:p>
        </w:tc>
        <w:tc>
          <w:tcPr>
            <w:tcW w:w="3120" w:type="dxa"/>
          </w:tcPr>
          <w:p>
            <w:pPr/>
            <w:r>
              <w:rPr>
                <w:rStyle w:val="CodeChar"/>
              </w:rPr>
              <w:t xml:space="preserve">file.upload</w:t>
            </w:r>
            <w:r>
              <w:t xml:space="preserve">, </w:t>
            </w:r>
            <w:r>
              <w:rPr>
                <w:rStyle w:val="CodeChar"/>
              </w:rPr>
              <w:t xml:space="preserve">file.download</w:t>
            </w:r>
          </w:p>
        </w:tc>
        <w:tc>
          <w:tcPr>
            <w:tcW w:w="3120" w:type="dxa"/>
          </w:tcPr>
          <w:p>
            <w:pPr/>
            <w:r>
              <w:t xml:space="preserve">Dateiname, Größe, MIME-Typ, SHA-256</w:t>
            </w:r>
          </w:p>
        </w:tc>
      </w:tr>
      <w:tr>
        <w:tc>
          <w:tcPr>
            <w:tcW w:w="3120" w:type="dxa"/>
          </w:tcPr>
          <w:p>
            <w:pPr/>
            <w:r>
              <w:t xml:space="preserve">Audit</w:t>
            </w:r>
          </w:p>
        </w:tc>
        <w:tc>
          <w:tcPr>
            <w:tcW w:w="3120" w:type="dxa"/>
          </w:tcPr>
          <w:p>
            <w:pPr/>
            <w:r>
              <w:rPr>
                <w:rStyle w:val="CodeChar"/>
              </w:rPr>
              <w:t xml:space="preserve">audit.export</w:t>
            </w:r>
          </w:p>
        </w:tc>
        <w:tc>
          <w:tcPr>
            <w:tcW w:w="3120" w:type="dxa"/>
          </w:tcPr>
          <w:p>
            <w:pPr/>
            <w:r>
              <w:t xml:space="preserve">Filter, Zeilenzahl</w:t>
            </w:r>
          </w:p>
        </w:tc>
      </w:tr>
    </w:tbl>
    <w:p>
      <w:pPr/>
      <w:r>
        <w:t xml:space="preserve">Jeder Eintrag enthält Zeitstempel, Benutzer-ID und -Name, Client-IP (über </w:t>
      </w:r>
      <w:r>
        <w:rPr>
          <w:rStyle w:val="CodeChar"/>
        </w:rPr>
        <w:t xml:space="preserve">X-Forwarded-For</w:t>
      </w:r>
      <w:r>
        <w:t xml:space="preserve"> vom Ingress), User-Agent und Erfolg.</w:t>
      </w:r>
    </w:p>
    <w:p>
      <w:pPr/>
      <w:r>
        <w:rPr>
          <w:b/>
        </w:rPr>
        <w:t xml:space="preserve">Prompt-Inhalte:</w:t>
      </w:r>
      <w:r>
        <w:t xml:space="preserve"> Standardmäßig protokolliert das Audit-Log nur Metadaten; mit </w:t>
      </w:r>
      <w:r>
        <w:rPr>
          <w:rStyle w:val="CodeChar"/>
        </w:rPr>
        <w:t xml:space="preserve">AUDIT_LOG_PROMPTS=true</w:t>
      </w:r>
      <w:r>
        <w:t xml:space="preserve"> zusätzlich den Volltext. Die Chats selbst liegen ohnehin in </w:t>
      </w:r>
      <w:r>
        <w:rPr>
          <w:rStyle w:val="CodeChar"/>
        </w:rPr>
        <w:t xml:space="preserve">messages</w:t>
      </w:r>
      <w:r>
        <w:t xml:space="preserve">. Ob Volltext ins Audit gehört, ist eine Frage für Datenschutz und Betriebsrat.</w:t>
      </w:r>
    </w:p>
    <w:p>
      <w:pPr/>
      <w:r>
        <w:rPr>
          <w:b/>
        </w:rPr>
        <w:t xml:space="preserve">Aufbewahrung:</w:t>
      </w:r>
      <w:r>
        <w:t xml:space="preserve"> Das Grundgerüst löscht nichts automatisch. Empfohlen ist ein nächtlicher Job, der Einträge nach der festgelegten Frist (z. B. 12 Monate) entfernt, sowie ein Log-Stack mit eigener, unveränderlicher Aufbewahrung.</w:t>
      </w:r>
    </w:p>
    <w:p>
      <w:pPr>
        <w:pStyle w:val="Heading2"/>
      </w:pPr>
      <w:r>
        <w:t xml:space="preserve">Sicherheit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Thema</w:t>
            </w:r>
          </w:p>
        </w:tc>
        <w:tc>
          <w:tcPr>
            <w:tcW w:w="4680" w:type="dxa"/>
            <w:shd w:val="clear" w:color="auto" w:fill="F2F2F2"/>
          </w:tcPr>
          <w:p>
            <w:pPr/>
            <w:r>
              <w:t xml:space="preserve">Umsetzung</w:t>
            </w:r>
          </w:p>
        </w:tc>
      </w:tr>
      <w:tr>
        <w:tc>
          <w:tcPr>
            <w:tcW w:w="4680" w:type="dxa"/>
          </w:tcPr>
          <w:p>
            <w:pPr/>
            <w:r>
              <w:t xml:space="preserve">Geheimnisse</w:t>
            </w:r>
          </w:p>
        </w:tc>
        <w:tc>
          <w:tcPr>
            <w:tcW w:w="4680" w:type="dxa"/>
          </w:tcPr>
          <w:p>
            <w:pPr/>
            <w:r>
              <w:t xml:space="preserve">API-Keys und MCP-Header AES-256-GCM-verschlüsselt; Schlüssel </w:t>
            </w:r>
            <w:r>
              <w:rPr>
                <w:rStyle w:val="CodeChar"/>
              </w:rPr>
              <w:t xml:space="preserve">ENCRYPTION_KEY</w:t>
            </w:r>
            <w:r>
              <w:t xml:space="preserve"> aus Kubernetes-Secret, nie im Image</w:t>
            </w:r>
          </w:p>
        </w:tc>
      </w:tr>
      <w:tr>
        <w:tc>
          <w:tcPr>
            <w:tcW w:w="4680" w:type="dxa"/>
          </w:tcPr>
          <w:p>
            <w:pPr/>
            <w:r>
              <w:t xml:space="preserve">KI-Anbieter</w:t>
            </w:r>
          </w:p>
        </w:tc>
        <w:tc>
          <w:tcPr>
            <w:tcW w:w="4680" w:type="dxa"/>
          </w:tcPr>
          <w:p>
            <w:pPr/>
            <w:r>
              <w:t xml:space="preserve">Aufrufe nur serverseitig; der Browser sieht Modell-IDs, nie Schlüssel. Was pro Anfrage gesendet wird (Verlauf, Anhänge, Tool-Ergebnisse), ist dokumentiert; welche Daten an welchen Anbieter dürfen, wird pro Modell festgelegt</w:t>
            </w:r>
          </w:p>
        </w:tc>
      </w:tr>
      <w:tr>
        <w:tc>
          <w:tcPr>
            <w:tcW w:w="4680" w:type="dxa"/>
          </w:tcPr>
          <w:p>
            <w:pPr/>
            <w:r>
              <w:t xml:space="preserve">Sitzung</w:t>
            </w:r>
          </w:p>
        </w:tc>
        <w:tc>
          <w:tcPr>
            <w:tcW w:w="4680" w:type="dxa"/>
          </w:tcPr>
          <w:p>
            <w:pPr/>
            <w:r>
              <w:t xml:space="preserve">HttpOnly-Cookie, SameSite=Lax, </w:t>
            </w:r>
            <w:r>
              <w:rPr>
                <w:rStyle w:val="CodeChar"/>
              </w:rPr>
              <w:t xml:space="preserve">Secure</w:t>
            </w:r>
            <w:r>
              <w:t xml:space="preserve"> hinter HTTPS, signiertes JWT; Benutzerstatus wird pro Anfrage aus der DB geprüft</w:t>
            </w:r>
          </w:p>
        </w:tc>
      </w:tr>
      <w:tr>
        <w:tc>
          <w:tcPr>
            <w:tcW w:w="4680" w:type="dxa"/>
          </w:tcPr>
          <w:p>
            <w:pPr/>
            <w:r>
              <w:t xml:space="preserve">CSRF</w:t>
            </w:r>
          </w:p>
        </w:tc>
        <w:tc>
          <w:tcPr>
            <w:tcW w:w="4680" w:type="dxa"/>
          </w:tcPr>
          <w:p>
            <w:pPr/>
            <w:r>
              <w:t xml:space="preserve">Schreibende API-Aufrufe verlangen Header </w:t>
            </w:r>
            <w:r>
              <w:rPr>
                <w:rStyle w:val="CodeChar"/>
              </w:rPr>
              <w:t xml:space="preserve">X-Requested-With: ai-portal</w:t>
            </w:r>
            <w:r>
              <w:t xml:space="preserve">; kein CORS freigegeben</w:t>
            </w:r>
          </w:p>
        </w:tc>
      </w:tr>
      <w:tr>
        <w:tc>
          <w:tcPr>
            <w:tcW w:w="4680" w:type="dxa"/>
          </w:tcPr>
          <w:p>
            <w:pPr/>
            <w:r>
              <w:t xml:space="preserve">Brute Force</w:t>
            </w:r>
          </w:p>
        </w:tc>
        <w:tc>
          <w:tcPr>
            <w:tcW w:w="4680" w:type="dxa"/>
          </w:tcPr>
          <w:p>
            <w:pPr/>
            <w:r>
              <w:t xml:space="preserve">20 Login-Versuche pro 15 min und IP; bcrypt mit Kosten 12; konstante Laufzeit bei unbekannten Benutzern</w:t>
            </w:r>
          </w:p>
        </w:tc>
      </w:tr>
      <w:tr>
        <w:tc>
          <w:tcPr>
            <w:tcW w:w="4680" w:type="dxa"/>
          </w:tcPr>
          <w:p>
            <w:pPr/>
            <w:r>
              <w:t xml:space="preserve">LDAP</w:t>
            </w:r>
          </w:p>
        </w:tc>
        <w:tc>
          <w:tcPr>
            <w:tcW w:w="4680" w:type="dxa"/>
          </w:tcPr>
          <w:p>
            <w:pPr/>
            <w:r>
              <w:t xml:space="preserve">Filter-Escaping nach RFC 4515, leere Passwörter abgewiesen (kein anonymer Bind), </w:t>
            </w:r>
            <w:r>
              <w:rPr>
                <w:rStyle w:val="CodeChar"/>
              </w:rPr>
              <w:t xml:space="preserve">ldaps://</w:t>
            </w:r>
            <w:r>
              <w:t xml:space="preserve"> empfohlen</w:t>
            </w:r>
          </w:p>
        </w:tc>
      </w:tr>
      <w:tr>
        <w:tc>
          <w:tcPr>
            <w:tcW w:w="4680" w:type="dxa"/>
          </w:tcPr>
          <w:p>
            <w:pPr/>
            <w:r>
              <w:t xml:space="preserve">Mandantentrennung</w:t>
            </w:r>
          </w:p>
        </w:tc>
        <w:tc>
          <w:tcPr>
            <w:tcW w:w="4680" w:type="dxa"/>
          </w:tcPr>
          <w:p>
            <w:pPr/>
            <w:r>
              <w:t xml:space="preserve">Chats, Dateien und MCP-Server immer über </w:t>
            </w:r>
            <w:r>
              <w:rPr>
                <w:rStyle w:val="CodeChar"/>
              </w:rPr>
              <w:t xml:space="preserve">user_id</w:t>
            </w:r>
            <w:r>
              <w:t xml:space="preserve"> gefiltert</w:t>
            </w:r>
          </w:p>
        </w:tc>
      </w:tr>
      <w:tr>
        <w:tc>
          <w:tcPr>
            <w:tcW w:w="4680" w:type="dxa"/>
          </w:tcPr>
          <w:p>
            <w:pPr/>
            <w:r>
              <w:t xml:space="preserve">Header</w:t>
            </w:r>
          </w:p>
        </w:tc>
        <w:tc>
          <w:tcPr>
            <w:tcW w:w="4680" w:type="dxa"/>
          </w:tcPr>
          <w:p>
            <w:pPr/>
            <w:r>
              <w:t xml:space="preserve">Helmet mit Content-Security-Policy </w:t>
            </w:r>
            <w:r>
              <w:rPr>
                <w:rStyle w:val="CodeChar"/>
              </w:rPr>
              <w:t xml:space="preserve">default-src 'self'</w:t>
            </w:r>
          </w:p>
        </w:tc>
      </w:tr>
      <w:tr>
        <w:tc>
          <w:tcPr>
            <w:tcW w:w="4680" w:type="dxa"/>
          </w:tcPr>
          <w:p>
            <w:pPr/>
            <w:r>
              <w:t xml:space="preserve">Container</w:t>
            </w:r>
          </w:p>
        </w:tc>
        <w:tc>
          <w:tcPr>
            <w:tcW w:w="4680" w:type="dxa"/>
          </w:tcPr>
          <w:p>
            <w:pPr/>
            <w:r>
              <w:t xml:space="preserve">Nicht-Root, read-only Root-Dateisystem, alle Capabilities entfernt, Seccomp RuntimeDefault</w:t>
            </w:r>
          </w:p>
        </w:tc>
      </w:tr>
      <w:tr>
        <w:tc>
          <w:tcPr>
            <w:tcW w:w="4680" w:type="dxa"/>
          </w:tcPr>
          <w:p>
            <w:pPr/>
            <w:r>
              <w:t xml:space="preserve">Netzwerk</w:t>
            </w:r>
          </w:p>
        </w:tc>
        <w:tc>
          <w:tcPr>
            <w:tcW w:w="4680" w:type="dxa"/>
          </w:tcPr>
          <w:p>
            <w:pPr/>
            <w:r>
              <w:t xml:space="preserve">NetworkPolicy: eingehend nur vom Ingress-Controller</w:t>
            </w:r>
          </w:p>
        </w:tc>
      </w:tr>
    </w:tbl>
    <w:p>
      <w:pPr/>
      <w:r>
        <w:t xml:space="preserve">Noch offen für den Produktivbetrieb: Penetrationstest, Virenscan für Uploads (z. B. ClamAV), Egress-Einschränkung auf bekannte Ziele, Secret-Rotation.</w:t>
      </w:r>
    </w:p>
    <w:p>
      <w:pPr>
        <w:pStyle w:val="Heading2"/>
      </w:pPr>
      <w:r>
        <w:t xml:space="preserve">Deployment</w:t>
      </w:r>
    </w:p>
    <w:p>
      <w:pPr/>
      <w:r>
        <w:t xml:space="preserve">Ein Multi-Stage-Dockerfile baut Web-UI und Server in ein </w:t>
      </w:r>
      <w:r>
        <w:rPr>
          <w:rStyle w:val="CodeChar"/>
        </w:rPr>
        <w:t xml:space="preserve">node:22-alpine</w:t>
      </w:r>
      <w:r>
        <w:t xml:space="preserve">-Image; Datenbank-Migrationen laufen beim Start automatisch. Lokal startet alles mit </w:t>
      </w:r>
      <w:r>
        <w:rPr>
          <w:rStyle w:val="CodeChar"/>
        </w:rPr>
        <w:t xml:space="preserve">docker compose up --build</w:t>
      </w:r>
      <w:r>
        <w:t xml:space="preserve">.</w:t>
      </w:r>
    </w:p>
    <w:p>
      <w:pPr/>
      <w:r>
        <w:rPr>
          <w:b/>
        </w:rPr>
        <w:t xml:space="preserve">Kubernetes (kustomize, </w:t>
      </w:r>
      <w:r>
        <w:rPr>
          <w:rStyle w:val="CodeChar"/>
          <w:b/>
        </w:rPr>
        <w:t xml:space="preserve">deploy/k8s/</w:t>
      </w:r>
      <w:r>
        <w:rPr>
          <w:b/>
        </w:rP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Manifest</w:t>
            </w:r>
          </w:p>
        </w:tc>
        <w:tc>
          <w:tcPr>
            <w:tcW w:w="4680" w:type="dxa"/>
            <w:shd w:val="clear" w:color="auto" w:fill="F2F2F2"/>
          </w:tcPr>
          <w:p>
            <w:pPr/>
            <w:r>
              <w:t xml:space="preserve">Inhalt</w:t>
            </w:r>
          </w:p>
        </w:tc>
      </w:tr>
      <w:tr>
        <w:tc>
          <w:tcPr>
            <w:tcW w:w="4680" w:type="dxa"/>
          </w:tcPr>
          <w:p>
            <w:pPr/>
            <w:r>
              <w:rPr>
                <w:rStyle w:val="CodeChar"/>
              </w:rPr>
              <w:t xml:space="preserve">deployment.yaml</w:t>
            </w:r>
          </w:p>
        </w:tc>
        <w:tc>
          <w:tcPr>
            <w:tcW w:w="4680" w:type="dxa"/>
          </w:tcPr>
          <w:p>
            <w:pPr/>
            <w:r>
              <w:t xml:space="preserve">2 Replicas, Rolling Update ohne Ausfall, Probes </w:t>
            </w:r>
            <w:r>
              <w:rPr>
                <w:rStyle w:val="CodeChar"/>
              </w:rPr>
              <w:t xml:space="preserve">/readyz</w:t>
            </w:r>
            <w:r>
              <w:t xml:space="preserve"> und </w:t>
            </w:r>
            <w:r>
              <w:rPr>
                <w:rStyle w:val="CodeChar"/>
              </w:rPr>
              <w:t xml:space="preserve">/healthz</w:t>
            </w:r>
            <w:r>
              <w:t xml:space="preserve">, 100m CPU / 256 Mi angefordert, 1 Gi Limit</w:t>
            </w:r>
          </w:p>
        </w:tc>
      </w:tr>
      <w:tr>
        <w:tc>
          <w:tcPr>
            <w:tcW w:w="4680" w:type="dxa"/>
          </w:tcPr>
          <w:p>
            <w:pPr/>
            <w:r>
              <w:rPr>
                <w:rStyle w:val="CodeChar"/>
              </w:rPr>
              <w:t xml:space="preserve">configmap.yaml</w:t>
            </w:r>
          </w:p>
        </w:tc>
        <w:tc>
          <w:tcPr>
            <w:tcW w:w="4680" w:type="dxa"/>
          </w:tcPr>
          <w:p>
            <w:pPr/>
            <w:r>
              <w:t xml:space="preserve">Nicht geheime Einstellungen (URL, LDAP-/OIDC-Parameter, Limits)</w:t>
            </w:r>
          </w:p>
        </w:tc>
      </w:tr>
      <w:tr>
        <w:tc>
          <w:tcPr>
            <w:tcW w:w="4680" w:type="dxa"/>
          </w:tcPr>
          <w:p>
            <w:pPr/>
            <w:r>
              <w:rPr>
                <w:rStyle w:val="CodeChar"/>
              </w:rPr>
              <w:t xml:space="preserve">secret.example.yaml</w:t>
            </w:r>
          </w:p>
        </w:tc>
        <w:tc>
          <w:tcPr>
            <w:tcW w:w="4680" w:type="dxa"/>
          </w:tcPr>
          <w:p>
            <w:pPr/>
            <w:r>
              <w:t xml:space="preserve">Vorlage für </w:t>
            </w:r>
            <w:r>
              <w:rPr>
                <w:rStyle w:val="CodeChar"/>
              </w:rPr>
              <w:t xml:space="preserve">DATABASE_URL</w:t>
            </w:r>
            <w:r>
              <w:t xml:space="preserve">, </w:t>
            </w:r>
            <w:r>
              <w:rPr>
                <w:rStyle w:val="CodeChar"/>
              </w:rPr>
              <w:t xml:space="preserve">SESSION_SECRET</w:t>
            </w:r>
            <w:r>
              <w:t xml:space="preserve">, </w:t>
            </w:r>
            <w:r>
              <w:rPr>
                <w:rStyle w:val="CodeChar"/>
              </w:rPr>
              <w:t xml:space="preserve">ENCRYPTION_KEY</w:t>
            </w:r>
            <w:r>
              <w:t xml:space="preserve">, Bind- und Client-Secrets</w:t>
            </w:r>
          </w:p>
        </w:tc>
      </w:tr>
      <w:tr>
        <w:tc>
          <w:tcPr>
            <w:tcW w:w="4680" w:type="dxa"/>
          </w:tcPr>
          <w:p>
            <w:pPr/>
            <w:r>
              <w:rPr>
                <w:rStyle w:val="CodeChar"/>
              </w:rPr>
              <w:t xml:space="preserve">ingress.yaml</w:t>
            </w:r>
          </w:p>
        </w:tc>
        <w:tc>
          <w:tcPr>
            <w:tcW w:w="4680" w:type="dxa"/>
          </w:tcPr>
          <w:p>
            <w:pPr/>
            <w:r>
              <w:t xml:space="preserve">nginx mit abgeschaltetem Buffering (Streaming), 600 s Read-Timeout, 25 MB Body, TLS über cert-manager</w:t>
            </w:r>
          </w:p>
        </w:tc>
      </w:tr>
      <w:tr>
        <w:tc>
          <w:tcPr>
            <w:tcW w:w="4680" w:type="dxa"/>
          </w:tcPr>
          <w:p>
            <w:pPr/>
            <w:r>
              <w:rPr>
                <w:rStyle w:val="CodeChar"/>
              </w:rPr>
              <w:t xml:space="preserve">hpa.yaml</w:t>
            </w:r>
            <w:r>
              <w:t xml:space="preserve">, </w:t>
            </w:r>
            <w:r>
              <w:rPr>
                <w:rStyle w:val="CodeChar"/>
              </w:rPr>
              <w:t xml:space="preserve">pdb.yaml</w:t>
            </w:r>
          </w:p>
        </w:tc>
        <w:tc>
          <w:tcPr>
            <w:tcW w:w="4680" w:type="dxa"/>
          </w:tcPr>
          <w:p>
            <w:pPr/>
            <w:r>
              <w:t xml:space="preserve">2–6 Pods bei 70 % CPU, mindestens 1 Pod verfügbar</w:t>
            </w:r>
          </w:p>
        </w:tc>
      </w:tr>
      <w:tr>
        <w:tc>
          <w:tcPr>
            <w:tcW w:w="4680" w:type="dxa"/>
          </w:tcPr>
          <w:p>
            <w:pPr/>
            <w:r>
              <w:rPr>
                <w:rStyle w:val="CodeChar"/>
              </w:rPr>
              <w:t xml:space="preserve">networkpolicy.yaml</w:t>
            </w:r>
          </w:p>
        </w:tc>
        <w:tc>
          <w:tcPr>
            <w:tcW w:w="4680" w:type="dxa"/>
          </w:tcPr>
          <w:p>
            <w:pPr/>
            <w:r>
              <w:t xml:space="preserve">Eingehend nur vom Ingress-Controller</w:t>
            </w:r>
          </w:p>
        </w:tc>
      </w:tr>
      <w:tr>
        <w:tc>
          <w:tcPr>
            <w:tcW w:w="4680" w:type="dxa"/>
          </w:tcPr>
          <w:p>
            <w:pPr/>
            <w:r>
              <w:rPr>
                <w:rStyle w:val="CodeChar"/>
              </w:rPr>
              <w:t xml:space="preserve">postgres-cnpg.yaml</w:t>
            </w:r>
          </w:p>
        </w:tc>
        <w:tc>
          <w:tcPr>
            <w:tcW w:w="4680" w:type="dxa"/>
          </w:tcPr>
          <w:p>
            <w:pPr/>
            <w:r>
              <w:t xml:space="preserve">Optional: PostgreSQL-Cluster über CloudNativePG</w:t>
            </w:r>
          </w:p>
        </w:tc>
      </w:tr>
    </w:tbl>
    <w:p>
      <w:pPr/>
      <w:r>
        <w:rPr>
          <w:b/>
        </w:rPr>
        <w:t xml:space="preserve">Wichtigste Variablen:</w:t>
      </w:r>
      <w:r>
        <w:t xml:space="preserve"> </w:t>
      </w:r>
      <w:r>
        <w:rPr>
          <w:rStyle w:val="CodeChar"/>
        </w:rPr>
        <w:t xml:space="preserve">PUBLIC_URL</w:t>
      </w:r>
      <w:r>
        <w:t xml:space="preserve">, </w:t>
      </w:r>
      <w:r>
        <w:rPr>
          <w:rStyle w:val="CodeChar"/>
        </w:rPr>
        <w:t xml:space="preserve">DATABASE_URL</w:t>
      </w:r>
      <w:r>
        <w:t xml:space="preserve">, </w:t>
      </w:r>
      <w:r>
        <w:rPr>
          <w:rStyle w:val="CodeChar"/>
        </w:rPr>
        <w:t xml:space="preserve">SESSION_SECRET</w:t>
      </w:r>
      <w:r>
        <w:t xml:space="preserve">, </w:t>
      </w:r>
      <w:r>
        <w:rPr>
          <w:rStyle w:val="CodeChar"/>
        </w:rPr>
        <w:t xml:space="preserve">ENCRYPTION_KEY</w:t>
      </w:r>
      <w:r>
        <w:t xml:space="preserve">, </w:t>
      </w:r>
      <w:r>
        <w:rPr>
          <w:rStyle w:val="CodeChar"/>
        </w:rPr>
        <w:t xml:space="preserve">BOOTSTRAP_ADMIN_PASSWORD</w:t>
      </w:r>
      <w:r>
        <w:t xml:space="preserve">, </w:t>
      </w:r>
      <w:r>
        <w:rPr>
          <w:rStyle w:val="CodeChar"/>
        </w:rPr>
        <w:t xml:space="preserve">COOKIE_SECURE</w:t>
      </w:r>
      <w:r>
        <w:t xml:space="preserve">, </w:t>
      </w:r>
      <w:r>
        <w:rPr>
          <w:rStyle w:val="CodeChar"/>
        </w:rPr>
        <w:t xml:space="preserve">LDAP_*</w:t>
      </w:r>
      <w:r>
        <w:t xml:space="preserve">, </w:t>
      </w:r>
      <w:r>
        <w:rPr>
          <w:rStyle w:val="CodeChar"/>
        </w:rPr>
        <w:t xml:space="preserve">OIDC_*</w:t>
      </w:r>
      <w:r>
        <w:t xml:space="preserve">, </w:t>
      </w:r>
      <w:r>
        <w:rPr>
          <w:rStyle w:val="CodeChar"/>
        </w:rPr>
        <w:t xml:space="preserve">UPLOAD_MAX_MB</w:t>
      </w:r>
      <w:r>
        <w:t xml:space="preserve">, </w:t>
      </w:r>
      <w:r>
        <w:rPr>
          <w:rStyle w:val="CodeChar"/>
        </w:rPr>
        <w:t xml:space="preserve">MAX_TOOL_STEPS</w:t>
      </w:r>
      <w:r>
        <w:t xml:space="preserve">, </w:t>
      </w:r>
      <w:r>
        <w:rPr>
          <w:rStyle w:val="CodeChar"/>
        </w:rPr>
        <w:t xml:space="preserve">AUDIT_LOG_PROMPTS</w:t>
      </w:r>
      <w:r>
        <w:t xml:space="preserve">. Vollständige Liste in </w:t>
      </w:r>
      <w:r>
        <w:rPr>
          <w:rStyle w:val="CodeChar"/>
        </w:rPr>
        <w:t xml:space="preserve">.env.example</w:t>
      </w:r>
      <w:r>
        <w:t xml:space="preserve"> und im README.</w:t>
      </w:r>
    </w:p>
    <w:p>
      <w:pPr/>
      <w:r>
        <w:rPr>
          <w:rStyle w:val="CodeChar"/>
        </w:rPr>
        <w:t xml:space="preserve">ENCRYPTION_KEY</w:t>
      </w:r>
      <w:r>
        <w:t xml:space="preserve"> muss getrennt vom Datenbank-Backup gesichert werden – ohne ihn sind gespeicherte Schlüssel unbrauchbar.</w:t>
      </w:r>
    </w:p>
    <w:p>
      <w:pPr>
        <w:pStyle w:val="Heading2"/>
      </w:pPr>
      <w:r>
        <w:t xml:space="preserve">Wissensdatenbank (RAG)</w:t>
      </w:r>
    </w:p>
    <w:p>
      <w:pPr/>
      <w:r>
        <w:t xml:space="preserve">Interne Dokumente aus vier Quellenarten werden in PostgreSQL mit pgvector indiziert. Im Chat durchsucht das Modell sie über ein eingebautes Tool und belegt seine Antworten mit nummerierten Quellen. Jeder Benutzer findet nur Sammlungen, die für eine seiner Gruppen freigegeben sind.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Quelle</w:t>
            </w:r>
          </w:p>
        </w:tc>
        <w:tc>
          <w:tcPr>
            <w:tcW w:w="2340" w:type="dxa"/>
            <w:shd w:val="clear" w:color="auto" w:fill="F2F2F2"/>
          </w:tcPr>
          <w:p>
            <w:pPr/>
            <w:r>
              <w:t xml:space="preserve">Anbindung</w:t>
            </w:r>
          </w:p>
        </w:tc>
        <w:tc>
          <w:tcPr>
            <w:tcW w:w="2340" w:type="dxa"/>
            <w:shd w:val="clear" w:color="auto" w:fill="F2F2F2"/>
          </w:tcPr>
          <w:p>
            <w:pPr/>
            <w:r>
              <w:t xml:space="preserve">Zugang</w:t>
            </w:r>
          </w:p>
        </w:tc>
        <w:tc>
          <w:tcPr>
            <w:tcW w:w="2340" w:type="dxa"/>
            <w:shd w:val="clear" w:color="auto" w:fill="F2F2F2"/>
          </w:tcPr>
          <w:p>
            <w:pPr/>
            <w:r>
              <w:t xml:space="preserve">Änderungserkennung</w:t>
            </w:r>
          </w:p>
        </w:tc>
      </w:tr>
      <w:tr>
        <w:tc>
          <w:tcPr>
            <w:tcW w:w="2340" w:type="dxa"/>
          </w:tcPr>
          <w:p>
            <w:pPr/>
            <w:r>
              <w:t xml:space="preserve">Upload</w:t>
            </w:r>
          </w:p>
        </w:tc>
        <w:tc>
          <w:tcPr>
            <w:tcW w:w="2340" w:type="dxa"/>
          </w:tcPr>
          <w:p>
            <w:pPr/>
            <w:r>
              <w:t xml:space="preserve">Direkt im Admin-Bereich in eine Sammlung</w:t>
            </w:r>
          </w:p>
        </w:tc>
        <w:tc>
          <w:tcPr>
            <w:tcW w:w="2340" w:type="dxa"/>
          </w:tcPr>
          <w:p>
            <w:pPr/>
            <w:r>
              <w:t xml:space="preserve">–</w:t>
            </w:r>
          </w:p>
        </w:tc>
        <w:tc>
          <w:tcPr>
            <w:tcW w:w="2340" w:type="dxa"/>
          </w:tcPr>
          <w:p>
            <w:pPr/>
            <w:r>
              <w:t xml:space="preserve">Nur der extrahierte Text wird gespeichert, kein Original; Treffer verlinken auf eine Textfassung</w:t>
            </w:r>
          </w:p>
        </w:tc>
      </w:tr>
      <w:tr>
        <w:tc>
          <w:tcPr>
            <w:tcW w:w="2340" w:type="dxa"/>
          </w:tcPr>
          <w:p>
            <w:pPr/>
            <w:r>
              <w:t xml:space="preserve">Dateifreigabe</w:t>
            </w:r>
          </w:p>
        </w:tc>
        <w:tc>
          <w:tcPr>
            <w:tcW w:w="2340" w:type="dxa"/>
          </w:tcPr>
          <w:p>
            <w:pPr/>
            <w:r>
              <w:t xml:space="preserve">SMB/NFS read-only in den Pod gemountet (SMB-CSI-Treiber), Pfad unter </w:t>
            </w:r>
            <w:r>
              <w:rPr>
                <w:rStyle w:val="CodeChar"/>
              </w:rPr>
              <w:t xml:space="preserve">KNOWLEDGE_FS_ROOT</w:t>
            </w:r>
          </w:p>
        </w:tc>
        <w:tc>
          <w:tcPr>
            <w:tcW w:w="2340" w:type="dxa"/>
          </w:tcPr>
          <w:p>
            <w:pPr/>
            <w:r>
              <w:t xml:space="preserve">Mount-Konto</w:t>
            </w:r>
          </w:p>
        </w:tc>
        <w:tc>
          <w:tcPr>
            <w:tcW w:w="2340" w:type="dxa"/>
          </w:tcPr>
          <w:p>
            <w:pPr/>
            <w:r>
              <w:t xml:space="preserve">Änderungszeit + Größe</w:t>
            </w:r>
          </w:p>
        </w:tc>
      </w:tr>
      <w:tr>
        <w:tc>
          <w:tcPr>
            <w:tcW w:w="2340" w:type="dxa"/>
          </w:tcPr>
          <w:p>
            <w:pPr/>
            <w:r>
              <w:t xml:space="preserve">Confluence Cloud</w:t>
            </w:r>
          </w:p>
        </w:tc>
        <w:tc>
          <w:tcPr>
            <w:tcW w:w="2340" w:type="dxa"/>
          </w:tcPr>
          <w:p>
            <w:pPr/>
            <w:r>
              <w:t xml:space="preserve">REST API v2, Spaces per Key</w:t>
            </w:r>
          </w:p>
        </w:tc>
        <w:tc>
          <w:tcPr>
            <w:tcW w:w="2340" w:type="dxa"/>
          </w:tcPr>
          <w:p>
            <w:pPr/>
            <w:r>
              <w:t xml:space="preserve">Service-Konto: E-Mail + API-Token</w:t>
            </w:r>
          </w:p>
        </w:tc>
        <w:tc>
          <w:tcPr>
            <w:tcW w:w="2340" w:type="dxa"/>
          </w:tcPr>
          <w:p>
            <w:pPr/>
            <w:r>
              <w:t xml:space="preserve">Seitenversion</w:t>
            </w:r>
          </w:p>
        </w:tc>
      </w:tr>
      <w:tr>
        <w:tc>
          <w:tcPr>
            <w:tcW w:w="2340" w:type="dxa"/>
          </w:tcPr>
          <w:p>
            <w:pPr/>
            <w:r>
              <w:t xml:space="preserve">Confluence Server / DC</w:t>
            </w:r>
          </w:p>
        </w:tc>
        <w:tc>
          <w:tcPr>
            <w:tcW w:w="2340" w:type="dxa"/>
          </w:tcPr>
          <w:p>
            <w:pPr/>
            <w:r>
              <w:t xml:space="preserve">REST API v1</w:t>
            </w:r>
          </w:p>
        </w:tc>
        <w:tc>
          <w:tcPr>
            <w:tcW w:w="2340" w:type="dxa"/>
          </w:tcPr>
          <w:p>
            <w:pPr/>
            <w:r>
              <w:t xml:space="preserve">Personal Access Token</w:t>
            </w:r>
          </w:p>
        </w:tc>
        <w:tc>
          <w:tcPr>
            <w:tcW w:w="2340" w:type="dxa"/>
          </w:tcPr>
          <w:p>
            <w:pPr/>
            <w:r>
              <w:t xml:space="preserve">Seitenversion</w:t>
            </w:r>
          </w:p>
        </w:tc>
      </w:tr>
      <w:tr>
        <w:tc>
          <w:tcPr>
            <w:tcW w:w="2340" w:type="dxa"/>
          </w:tcPr>
          <w:p>
            <w:pPr/>
            <w:r>
              <w:t xml:space="preserve">SharePoint / OneDrive</w:t>
            </w:r>
          </w:p>
        </w:tc>
        <w:tc>
          <w:tcPr>
            <w:tcW w:w="2340" w:type="dxa"/>
          </w:tcPr>
          <w:p>
            <w:pPr/>
            <w:r>
              <w:t xml:space="preserve">Microsoft Graph, App-only (Client Credentials), Site oder Benutzer-OneDrive, optional Bibliothek und Unterordner</w:t>
            </w:r>
          </w:p>
        </w:tc>
        <w:tc>
          <w:tcPr>
            <w:tcW w:w="2340" w:type="dxa"/>
          </w:tcPr>
          <w:p>
            <w:pPr/>
            <w:r>
              <w:t xml:space="preserve">Entra-App mit </w:t>
            </w:r>
            <w:r>
              <w:rPr>
                <w:rStyle w:val="CodeChar"/>
              </w:rPr>
              <w:t xml:space="preserve">Sites.Selected</w:t>
            </w:r>
            <w:r>
              <w:t xml:space="preserve"> (empfohlen) bzw. </w:t>
            </w:r>
            <w:r>
              <w:rPr>
                <w:rStyle w:val="CodeChar"/>
              </w:rPr>
              <w:t xml:space="preserve">Sites.Read.All</w:t>
            </w:r>
          </w:p>
        </w:tc>
        <w:tc>
          <w:tcPr>
            <w:tcW w:w="2340" w:type="dxa"/>
          </w:tcPr>
          <w:p>
            <w:pPr/>
            <w:r>
              <w:t xml:space="preserve">cTag/eTag</w:t>
            </w:r>
          </w:p>
        </w:tc>
      </w:tr>
    </w:tbl>
    <w:p>
      <w:pPr/>
      <w:r>
        <w:rPr>
          <w:b/>
        </w:rPr>
        <w:t xml:space="preserve">Verarbeitung:</w:t>
      </w:r>
      <w:r>
        <w:t xml:space="preserve"> Textextraktion (PDF, DOCX, PPTX, XLSX, HTML/Confluence-Storage, Markdown, Text, Code) → Abschnitte von ca. 600 Tokens mit Überlappung, jeweils mit Dokumenttitel als Kontext → Embeddings → </w:t>
      </w:r>
      <w:r>
        <w:rPr>
          <w:rStyle w:val="CodeChar"/>
        </w:rPr>
        <w:t xml:space="preserve">knowledge_chunks</w:t>
      </w:r>
      <w:r>
        <w:t xml:space="preserve"> mit Vektor und Volltextindex. Übernommen wird ausschließlich der Text: Originaldateien werden nach der Extraktion verworfen, jeder Treffer verlinkt auf die Quelle (Confluence-Seite, SharePoint-Datei, Link auf die Dateifreigabe). Unveränderte Dokumente werden gar nicht erst heruntergeladen, bei einem Modellwechsel wird aus dem gespeicherten Text neu eingebettet; in der Quelle gelöschte Dokumente verschwinden beim nächsten Lauf.</w:t>
      </w:r>
    </w:p>
    <w:p>
      <w:pPr/>
      <w:r>
        <w:rPr>
          <w:b/>
        </w:rPr>
        <w:t xml:space="preserve">Suche:</w:t>
      </w:r>
      <w:r>
        <w:t xml:space="preserve"> Hybrid aus Vektorähnlichkeit (HNSW-Index, Kosinus) und PostgreSQL-Volltext. Der Volltext fängt exakte Begriffe wie Fehlercodes, Hostnamen und Produktnamen, die Vektoren die Bedeutung. Beide Ranglisten werden per Reciprocal Rank Fusion gemischt, höchstens 2 Abschnitte pro Dokument, 8 Treffer pro Suche.</w:t>
      </w:r>
    </w:p>
    <w:p>
      <w:pPr/>
      <w:r>
        <w:rPr>
          <w:b/>
        </w:rPr>
        <w:t xml:space="preserve">Embeddings:</w:t>
      </w:r>
      <w:r>
        <w:t xml:space="preserve"> Der Admin wählt Anbieter und Modell, z. B. Amazon Titan v2 oder Cohere Multilingual über Bedrock, oder BGE-M3 lokal über Ollama/TEI, wenn Dokumente das Haus nicht verlassen dürfen. Ein Modellwechsel startet automatisch die Neuindizierung aller Quellen.</w:t>
      </w:r>
    </w:p>
    <w:p>
      <w:pPr/>
      <w:r>
        <w:rPr>
          <w:b/>
        </w:rPr>
        <w:t xml:space="preserve">Rechte:</w:t>
      </w:r>
      <w:r>
        <w:t xml:space="preserve"> Sammlungen sind öffentlich, für Gruppen freigegeben oder nur für Admins sichtbar. Gruppen kommen bei jedem Login aus LDAP (</w:t>
      </w:r>
      <w:r>
        <w:rPr>
          <w:rStyle w:val="CodeChar"/>
        </w:rPr>
        <w:t xml:space="preserve">memberOf</w:t>
      </w:r>
      <w:r>
        <w:t xml:space="preserve"> oder Gruppensuche), aus dem OIDC-Token (</w:t>
      </w:r>
      <w:r>
        <w:rPr>
          <w:rStyle w:val="CodeChar"/>
        </w:rPr>
        <w:t xml:space="preserve">groups</w:t>
      </w:r>
      <w:r>
        <w:t xml:space="preserve"> bzw. App-Rollen) oder werden lokalen Benutzern im Portal zugewiesen. Die Rechte einzelner Dokumente in der Quelle werden in Version 1 nicht gespiegelt – eine Sammlung sollte deshalb nur Inhalte mit gleichem Leserkreis enthalten.</w:t>
      </w:r>
    </w:p>
    <w:p>
      <w:pPr/>
      <w:r>
        <w:rPr>
          <w:b/>
        </w:rPr>
        <w:t xml:space="preserve">Betrieb:</w:t>
      </w:r>
      <w:r>
        <w:t xml:space="preserve"> Ein Scheduler läuft in jedem Pod; PostgreSQL-Advisory-Locks sorgen dafür, dass eine Quelle nie doppelt synchronisiert wird. Intervall pro Quelle: 15 min, stündlich, täglich oder manuell. Jede Synchronisierung und jede Suche landet im Audit-Log (Trefferzahl und gefundene Dokumente, Suchtext nur mit </w:t>
      </w:r>
      <w:r>
        <w:rPr>
          <w:rStyle w:val="CodeChar"/>
        </w:rPr>
        <w:t xml:space="preserve">AUDIT_LOG_PROMPTS=true</w:t>
      </w:r>
      <w:r>
        <w:t xml:space="preserve">).</w:t>
      </w:r>
    </w:p>
    <w:p>
      <w:pPr/>
      <w:r>
        <w:rPr>
          <w:b/>
        </w:rPr>
        <w:t xml:space="preserve">Getestet</w:t>
      </w:r>
      <w:r>
        <w:t xml:space="preserve"> mit Test-Servern für Confluence (Cloud und Server), Microsoft Graph und Embeddings: alle vier Quellen, inkrementeller Sync, Entfernen gelöschter Dateien, automatische Neuindizierung, Gruppenrechte (Benutzer ohne Gruppe sieht nur öffentliche Sammlungen), Gruppenübernahme aus LDAP, Extraktion aus PDF, DOCX, PPTX und XLSX sowie die Suche im Chat mit Quellenliste.</w:t>
      </w:r>
    </w:p>
    <w:p>
      <w:pPr/>
      <w:r>
        <w:rPr>
          <w:b/>
        </w:rPr>
        <w:t xml:space="preserve">Grenzen von Version 1:</w:t>
      </w:r>
      <w:r>
        <w:t xml:space="preserve"> keine OCR für gescannte PDFs, keine Confluence-Anhänge, keine Rechte pro Dokument, kein Reranking-Modell. Suchqualität mit echten Embeddings und echten Dokumenten ist noch zu bewerten.</w:t>
      </w:r>
    </w:p>
    <w:p>
      <w:pPr>
        <w:pStyle w:val="Heading3"/>
      </w:pPr>
      <w:r>
        <w:t xml:space="preserve">Wissensdatenbank als MCP-Server</w:t>
      </w:r>
    </w:p>
    <w:p>
      <w:pPr/>
      <w:r>
        <w:t xml:space="preserve">Die Wissensdatenbank ist zusätzlich unter </w:t>
      </w:r>
      <w:r>
        <w:rPr>
          <w:rStyle w:val="CodeChar"/>
        </w:rPr>
        <w:t xml:space="preserve">https://&lt;host&gt;/mcp</w:t>
      </w:r>
      <w:r>
        <w:t xml:space="preserve"> als eigener MCP-Server erreichbar (Streamable HTTP, zustandslos, skaliert mit den Pods). Damit lässt sie sich aus LibreChat, Claude Desktop, VS Code oder jedem anderen MCP-Client nutzen – die Chat-Oberfläche ist austauschbar.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Tool</w:t>
            </w:r>
          </w:p>
        </w:tc>
        <w:tc>
          <w:tcPr>
            <w:tcW w:w="4680" w:type="dxa"/>
            <w:shd w:val="clear" w:color="auto" w:fill="F2F2F2"/>
          </w:tcPr>
          <w:p>
            <w:pPr/>
            <w:r>
              <w:t xml:space="preserve">Zweck</w:t>
            </w:r>
          </w:p>
        </w:tc>
      </w:tr>
      <w:tr>
        <w:tc>
          <w:tcPr>
            <w:tcW w:w="4680" w:type="dxa"/>
          </w:tcPr>
          <w:p>
            <w:pPr/>
            <w:r>
              <w:rPr>
                <w:rStyle w:val="CodeChar"/>
              </w:rPr>
              <w:t xml:space="preserve">sammlungen_auflisten</w:t>
            </w:r>
          </w:p>
        </w:tc>
        <w:tc>
          <w:tcPr>
            <w:tcW w:w="4680" w:type="dxa"/>
          </w:tcPr>
          <w:p>
            <w:pPr/>
            <w:r>
              <w:t xml:space="preserve">Sammlungen mit Beschreibung und Dokumentanzahl, auf die der Benutzer Zugriff hat</w:t>
            </w:r>
          </w:p>
        </w:tc>
      </w:tr>
      <w:tr>
        <w:tc>
          <w:tcPr>
            <w:tcW w:w="4680" w:type="dxa"/>
          </w:tcPr>
          <w:p>
            <w:pPr/>
            <w:r>
              <w:rPr>
                <w:rStyle w:val="CodeChar"/>
              </w:rPr>
              <w:t xml:space="preserve">wissensdatenbank_suchen</w:t>
            </w:r>
          </w:p>
        </w:tc>
        <w:tc>
          <w:tcPr>
            <w:tcW w:w="4680" w:type="dxa"/>
          </w:tcPr>
          <w:p>
            <w:pPr/>
            <w:r>
              <w:t xml:space="preserve">Hybrid-Suche, optional auf eine Sammlung begrenzt, 1–20 Treffer mit Titel, Link, Auszug und Dokument-ID</w:t>
            </w:r>
          </w:p>
        </w:tc>
      </w:tr>
      <w:tr>
        <w:tc>
          <w:tcPr>
            <w:tcW w:w="4680" w:type="dxa"/>
          </w:tcPr>
          <w:p>
            <w:pPr/>
            <w:r>
              <w:rPr>
                <w:rStyle w:val="CodeChar"/>
              </w:rPr>
              <w:t xml:space="preserve">dokument_lesen</w:t>
            </w:r>
          </w:p>
        </w:tc>
        <w:tc>
          <w:tcPr>
            <w:tcW w:w="4680" w:type="dxa"/>
          </w:tcPr>
          <w:p>
            <w:pPr/>
            <w:r>
              <w:t xml:space="preserve">Vollständiger Text eines Dokuments (max. 200.000 Zeichen)</w:t>
            </w:r>
          </w:p>
        </w:tc>
      </w:tr>
    </w:tbl>
    <w:p>
      <w:pPr/>
      <w:r>
        <w:rPr>
          <w:b/>
        </w:rPr>
        <w:t xml:space="preserve">Anmeldung:</w:t>
      </w:r>
      <w:r>
        <w:t xml:space="preserve"> Persönliche Zugriffstokens (</w:t>
      </w:r>
      <w:r>
        <w:rPr>
          <w:rStyle w:val="CodeChar"/>
        </w:rPr>
        <w:t xml:space="preserve">ap_…</w:t>
      </w:r>
      <w:r>
        <w:t xml:space="preserve">), die jede Person unter „MCP-Server“ selbst erstellt, mit 30, 90 oder 365 Tagen Laufzeit, jederzeit widerrufbar und nur als SHA-256 gespeichert. Das Token trägt die Gruppen des Benutzers – es gelten dieselben Sammlungsrechte wie im Portal, deaktivierte Benutzer verlieren sofort den Zugriff. Session-Cookies werden am MCP-Endpunkt bewusst nicht akzeptiert.</w:t>
      </w:r>
    </w:p>
    <w:p>
      <w:pPr/>
      <w:r>
        <w:rPr>
          <w:b/>
        </w:rPr>
        <w:t xml:space="preserve">Audit:</w:t>
      </w:r>
      <w:r>
        <w:t xml:space="preserve"> Suchen und Dokumentabrufe werden mit </w:t>
      </w:r>
      <w:r>
        <w:rPr>
          <w:rStyle w:val="CodeChar"/>
        </w:rPr>
        <w:t xml:space="preserve">via: mcp</w:t>
      </w:r>
      <w:r>
        <w:t xml:space="preserve"> protokolliert, ebenso Token-Erstellung, -Widerruf und fehlgeschlagene Token-Anmeldungen. Limit: 120 Anfragen pro Minute und IP.</w:t>
      </w:r>
    </w:p>
    <w:p>
      <w:pPr/>
      <w:r>
        <w:rPr>
          <w:b/>
        </w:rPr>
        <w:t xml:space="preserve">Einbindung:</w:t>
      </w:r>
      <w:r>
        <w:t xml:space="preserve"> In LibreChat über </w:t>
      </w:r>
      <w:r>
        <w:rPr>
          <w:rStyle w:val="CodeChar"/>
        </w:rPr>
        <w:t xml:space="preserve">customUserVars</w:t>
      </w:r>
      <w:r>
        <w:t xml:space="preserve">, sodass jede Person ihr eigenes Token hinterlegt. In Claude Desktop über den Adapter </w:t>
      </w:r>
      <w:r>
        <w:rPr>
          <w:rStyle w:val="CodeChar"/>
        </w:rPr>
        <w:t xml:space="preserve">mcp-remote</w:t>
      </w:r>
      <w:r>
        <w:t xml:space="preserve">. Die Konfigurationsbeispiele zeigt die Oberfläche direkt an.</w:t>
      </w:r>
    </w:p>
    <w:p>
      <w:pPr/>
      <w:r>
        <w:rPr>
          <w:b/>
        </w:rPr>
        <w:t xml:space="preserve">Getestet:</w:t>
      </w:r>
      <w:r>
        <w:t xml:space="preserve"> Verbindung mit dem offiziellen MCP-SDK-Client, alle drei Tools, Gruppenrechte über Token (nach Entzug der Gruppe verschwinden die IT-Treffer), Widerruf, Ablehnung ohne Token und mit Session-Cookie.</w:t>
      </w:r>
    </w:p>
    <w:p>
      <w:pPr>
        <w:pStyle w:val="Heading3"/>
      </w:pPr>
      <w:r>
        <w:t xml:space="preserve">Alternative Datenbank: Oracle AI Database 26ai</w:t>
      </w:r>
    </w:p>
    <w:p>
      <w:pPr/>
      <w:r>
        <w:t xml:space="preserve">Oracle 26ai würde die Wissensdatenbank technisch tragen, löst aber die offenen Punkte nicht. Es lohnt sich nur, wenn Oracle ohnehin Konzernstandard mit eigenem DBA-Team ist.</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Aspekt</w:t>
            </w:r>
          </w:p>
        </w:tc>
        <w:tc>
          <w:tcPr>
            <w:tcW w:w="4680" w:type="dxa"/>
            <w:shd w:val="clear" w:color="auto" w:fill="F2F2F2"/>
          </w:tcPr>
          <w:p>
            <w:pPr/>
            <w:r>
              <w:t xml:space="preserve">Mit Oracle 26ai</w:t>
            </w:r>
          </w:p>
        </w:tc>
      </w:tr>
      <w:tr>
        <w:tc>
          <w:tcPr>
            <w:tcW w:w="4680" w:type="dxa"/>
          </w:tcPr>
          <w:p>
            <w:pPr/>
            <w:r>
              <w:t xml:space="preserve">Embeddings in der Datenbank</w:t>
            </w:r>
          </w:p>
        </w:tc>
        <w:tc>
          <w:tcPr>
            <w:tcW w:w="4680" w:type="dxa"/>
          </w:tcPr>
          <w:p>
            <w:pPr/>
            <w:r>
              <w:t xml:space="preserve">Ja: ONNX-Modelle per </w:t>
            </w:r>
            <w:r>
              <w:rPr>
                <w:rStyle w:val="CodeChar"/>
              </w:rPr>
              <w:t xml:space="preserve">DBMS_VECTOR.LOAD_ONNX_MODEL</w:t>
            </w:r>
            <w:r>
              <w:t xml:space="preserve"> laden, </w:t>
            </w:r>
            <w:r>
              <w:rPr>
                <w:rStyle w:val="CodeChar"/>
              </w:rPr>
              <w:t xml:space="preserve">VECTOR_EMBEDDING()</w:t>
            </w:r>
            <w:r>
              <w:t xml:space="preserve"> in SQL – kein externer Embedding-Dienst. Das mitgelieferte Beispielmodell all-MiniLM-L12-v2 (384 Dimensionen) ist aber englischlastig; für Deutsch braucht es ein konvertiertes mehrsprachiges Modell</w:t>
            </w:r>
          </w:p>
        </w:tc>
      </w:tr>
      <w:tr>
        <w:tc>
          <w:tcPr>
            <w:tcW w:w="4680" w:type="dxa"/>
          </w:tcPr>
          <w:p>
            <w:pPr/>
            <w:r>
              <w:t xml:space="preserve">Vektor- und Hybrid-Suche</w:t>
            </w:r>
          </w:p>
        </w:tc>
        <w:tc>
          <w:tcPr>
            <w:tcW w:w="4680" w:type="dxa"/>
          </w:tcPr>
          <w:p>
            <w:pPr/>
            <w:r>
              <w:t xml:space="preserve">Ja, AI Vector Search und Unified Hybrid Vector Search, laut Oracle ohne Aufpreis in allen Editionen</w:t>
            </w:r>
          </w:p>
        </w:tc>
      </w:tr>
      <w:tr>
        <w:tc>
          <w:tcPr>
            <w:tcW w:w="4680" w:type="dxa"/>
          </w:tcPr>
          <w:p>
            <w:pPr/>
            <w:r>
              <w:t xml:space="preserve">Rechte pro Dokument</w:t>
            </w:r>
          </w:p>
        </w:tc>
        <w:tc>
          <w:tcPr>
            <w:tcW w:w="4680" w:type="dxa"/>
          </w:tcPr>
          <w:p>
            <w:pPr/>
            <w:r>
              <w:t xml:space="preserve">Besser durchsetzbar (Virtual Private Database / Real Application Security auf Zeilenebene). Die Berechtigungen aus SharePoint und Confluence müssen aber weiterhin selbst synchronisiert werden – das ist der eigentliche Aufwand</w:t>
            </w:r>
          </w:p>
        </w:tc>
      </w:tr>
      <w:tr>
        <w:tc>
          <w:tcPr>
            <w:tcW w:w="4680" w:type="dxa"/>
          </w:tcPr>
          <w:p>
            <w:pPr/>
            <w:r>
              <w:t xml:space="preserve">Konnektoren, OCR, Suchqualität</w:t>
            </w:r>
          </w:p>
        </w:tc>
        <w:tc>
          <w:tcPr>
            <w:tcW w:w="4680" w:type="dxa"/>
          </w:tcPr>
          <w:p>
            <w:pPr/>
            <w:r>
              <w:t xml:space="preserve">Keine Verbesserung, bleibt Anwendungscode</w:t>
            </w:r>
          </w:p>
        </w:tc>
      </w:tr>
      <w:tr>
        <w:tc>
          <w:tcPr>
            <w:tcW w:w="4680" w:type="dxa"/>
          </w:tcPr>
          <w:p>
            <w:pPr/>
            <w:r>
              <w:t xml:space="preserve">Aufwand im Portal</w:t>
            </w:r>
          </w:p>
        </w:tc>
        <w:tc>
          <w:tcPr>
            <w:tcW w:w="4680" w:type="dxa"/>
          </w:tcPr>
          <w:p>
            <w:pPr/>
            <w:r>
              <w:t xml:space="preserve">Datenzugriff neu schreiben: Drizzle unterstützt Oracle nicht, Umstieg auf </w:t>
            </w:r>
            <w:r>
              <w:rPr>
                <w:rStyle w:val="CodeChar"/>
              </w:rPr>
              <w:t xml:space="preserve">node-oracledb</w:t>
            </w:r>
            <w:r>
              <w:t xml:space="preserve"> mit Kysely o. ä.; Migrationen, Advisory Locks und Volltextsuche (Oracle Text) portieren</w:t>
            </w:r>
          </w:p>
        </w:tc>
      </w:tr>
      <w:tr>
        <w:tc>
          <w:tcPr>
            <w:tcW w:w="4680" w:type="dxa"/>
          </w:tcPr>
          <w:p>
            <w:pPr/>
            <w:r>
              <w:t xml:space="preserve">Betrieb</w:t>
            </w:r>
          </w:p>
        </w:tc>
        <w:tc>
          <w:tcPr>
            <w:tcW w:w="4680" w:type="dxa"/>
          </w:tcPr>
          <w:p>
            <w:pPr/>
            <w:r>
              <w:t xml:space="preserve">Deutlich schwerer als PostgreSQL im Container; Enterprise Edition on-prem kostet Lizenz, die Free Edition ist nur für Entwicklung gedacht</w:t>
            </w:r>
          </w:p>
        </w:tc>
      </w:tr>
    </w:tbl>
    <w:p>
      <w:pPr/>
      <w:r>
        <w:t xml:space="preserve">Der Vorteil „Dokumente verlassen das Haus nicht“ ist mit PostgreSQL ebenso erreichbar: ein lokales Embedding-Modell (z. B. BGE-M3 über Text Embeddings Inference) als kleiner Container im Cluster und im Portal als OpenAI-kompatibler Anbieter eingetragen.</w:t>
      </w:r>
    </w:p>
    <w:p>
      <w:pPr>
        <w:pStyle w:val="Heading2"/>
      </w:pPr>
      <w:r>
        <w:t xml:space="preserve">Offene Punkte &amp; Roadmap</w:t>
      </w:r>
    </w:p>
    <w:p>
      <w:pPr/>
      <w:r>
        <w:rPr>
          <w:b/>
        </w:rPr>
        <w:t xml:space="preserve">Vor dem Go-live klären:</w:t>
      </w:r>
    </w:p>
    <w:p>
      <w:pPr>
        <w:pStyle w:val="ListParagraph"/>
        <w:numPr>
          <w:ilvl w:val="0"/>
          <w:numId w:val="6"/>
        </w:numPr>
      </w:pPr>
      <w:r>
        <w:t xml:space="preserve">☐ Modell-IDs der Vorlagen gegen die aktuellen Kataloge von Anthropic, Bedrock und GitHub prüfen</w:t>
      </w:r>
    </w:p>
    <w:p>
      <w:pPr>
        <w:pStyle w:val="ListParagraph"/>
        <w:numPr>
          <w:ilvl w:val="0"/>
          <w:numId w:val="6"/>
        </w:numPr>
      </w:pPr>
      <w:r>
        <w:t xml:space="preserve">☐ Datenschutz / Betriebsrat: Volltext-Prompts im Audit-Log ja oder nein, Aufbewahrungsfrist für Chats und Audit</w:t>
      </w:r>
    </w:p>
    <w:p>
      <w:pPr>
        <w:pStyle w:val="ListParagraph"/>
        <w:numPr>
          <w:ilvl w:val="0"/>
          <w:numId w:val="6"/>
        </w:numPr>
      </w:pPr>
      <w:r>
        <w:t xml:space="preserve">☐ Bedrock-Anmeldung: statische Keys oder IRSA/Pod Identity (erfordert Erweiterung um die AWS-Credential-Chain)</w:t>
      </w:r>
    </w:p>
    <w:p>
      <w:pPr>
        <w:pStyle w:val="ListParagraph"/>
        <w:numPr>
          <w:ilvl w:val="0"/>
          <w:numId w:val="6"/>
        </w:numPr>
      </w:pPr>
      <w:r>
        <w:t xml:space="preserve">☐ Festlegen, welche Daten an welchen Anbieter dürfen (z. B. EU- oder lokale Modelle für vertrauliche Daten), und in den Anzeigenamen der Modelle kennzeichnen</w:t>
      </w:r>
    </w:p>
    <w:p>
      <w:pPr>
        <w:pStyle w:val="ListParagraph"/>
        <w:numPr>
          <w:ilvl w:val="0"/>
          <w:numId w:val="6"/>
        </w:numPr>
      </w:pPr>
      <w:r>
        <w:t xml:space="preserve">☐ Gegen echtes Active Directory und Azure AD testen (bisher mit Test-Servern verifiziert)</w:t>
      </w:r>
    </w:p>
    <w:p>
      <w:pPr>
        <w:pStyle w:val="ListParagraph"/>
        <w:numPr>
          <w:ilvl w:val="0"/>
          <w:numId w:val="6"/>
        </w:numPr>
      </w:pPr>
      <w:r>
        <w:t xml:space="preserve">☐ Virenscan für Uploads und Egress-Regeln festlegen</w:t>
      </w:r>
    </w:p>
    <w:p>
      <w:pPr/>
      <w:r>
        <w:rPr>
          <w:b/>
        </w:rPr>
        <w:t xml:space="preserve">Roadmap nach Version 1:</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Stufe</w:t>
            </w:r>
          </w:p>
        </w:tc>
        <w:tc>
          <w:tcPr>
            <w:tcW w:w="4680" w:type="dxa"/>
            <w:shd w:val="clear" w:color="auto" w:fill="F2F2F2"/>
          </w:tcPr>
          <w:p>
            <w:pPr/>
            <w:r>
              <w:t xml:space="preserve">Inhalt</w:t>
            </w:r>
          </w:p>
        </w:tc>
      </w:tr>
      <w:tr>
        <w:tc>
          <w:tcPr>
            <w:tcW w:w="4680" w:type="dxa"/>
          </w:tcPr>
          <w:p>
            <w:pPr/>
            <w:r>
              <w:t xml:space="preserve">1.1</w:t>
            </w:r>
          </w:p>
        </w:tc>
        <w:tc>
          <w:tcPr>
            <w:tcW w:w="4680" w:type="dxa"/>
          </w:tcPr>
          <w:p>
            <w:pPr/>
            <w:r>
              <w:t xml:space="preserve">Modellfreigabe pro Rolle/Gruppe, Token-Kontingente pro Benutzer, Nutzungs-Dashboard</w:t>
            </w:r>
          </w:p>
        </w:tc>
      </w:tr>
      <w:tr>
        <w:tc>
          <w:tcPr>
            <w:tcW w:w="4680" w:type="dxa"/>
          </w:tcPr>
          <w:p>
            <w:pPr/>
            <w:r>
              <w:t xml:space="preserve">1.2</w:t>
            </w:r>
          </w:p>
        </w:tc>
        <w:tc>
          <w:tcPr>
            <w:tcW w:w="4680" w:type="dxa"/>
          </w:tcPr>
          <w:p>
            <w:pPr/>
            <w:r>
              <w:t xml:space="preserve">Export von Antworten als DOCX/PPTX (Präsentationen), XLSX-Upload, Chat-Suche</w:t>
            </w:r>
          </w:p>
        </w:tc>
      </w:tr>
      <w:tr>
        <w:tc>
          <w:tcPr>
            <w:tcW w:w="4680" w:type="dxa"/>
          </w:tcPr>
          <w:p>
            <w:pPr/>
            <w:r>
              <w:t xml:space="preserve">1.3</w:t>
            </w:r>
          </w:p>
        </w:tc>
        <w:tc>
          <w:tcPr>
            <w:tcW w:w="4680" w:type="dxa"/>
          </w:tcPr>
          <w:p>
            <w:pPr/>
            <w:r>
              <w:t xml:space="preserve">Zentrale, vom Admin gepflegte MCP-Server für alle Benutzer; OAuth-Flow für MCP</w:t>
            </w:r>
          </w:p>
        </w:tc>
      </w:tr>
      <w:tr>
        <w:tc>
          <w:tcPr>
            <w:tcW w:w="4680" w:type="dxa"/>
          </w:tcPr>
          <w:p>
            <w:pPr/>
            <w:r>
              <w:t xml:space="preserve">1.4</w:t>
            </w:r>
          </w:p>
        </w:tc>
        <w:tc>
          <w:tcPr>
            <w:tcW w:w="4680" w:type="dxa"/>
          </w:tcPr>
          <w:p>
            <w:pPr/>
            <w:r>
              <w:t xml:space="preserve">Geteilte Chats und Team-Vorlagen (Prompt-Bibliothek), Dateiablage auf S3/MinIO</w:t>
            </w:r>
          </w:p>
        </w:tc>
      </w:tr>
      <w:tr>
        <w:tc>
          <w:tcPr>
            <w:tcW w:w="4680" w:type="dxa"/>
          </w:tcPr>
          <w:p>
            <w:pPr/>
            <w:r>
              <w:t xml:space="preserve">später</w:t>
            </w:r>
          </w:p>
        </w:tc>
        <w:tc>
          <w:tcPr>
            <w:tcW w:w="4680" w:type="dxa"/>
          </w:tcPr>
          <w:p>
            <w:pPr/>
            <w:r>
              <w:t xml:space="preserve">Wissensdatenbank ausbauen (Rechte pro Dokument, OCR, Confluence-Anhänge, Reranking), OpenTelemetry-Tracing, SCIM-Provisionierung</w:t>
            </w:r>
          </w:p>
        </w:tc>
      </w:tr>
    </w:tbl>
    <w:p>
      <w:pPr/>
      <w:r>
        <w:rPr>
          <w:b/>
        </w:rPr>
        <w:t xml:space="preserve">Stand des Grundgerüsts:</w:t>
      </w:r>
      <w:r>
        <w:t xml:space="preserve"> Backend, Frontend, Dockerfile, Compose und Kubernetes-Manifeste liegen vor. Getestet sind lokaler, LDAP- und OIDC-Login, Anbieter- und Modellverwaltung, MCP-Verbindung mit Bearer-Token inklusive Tool-Aufruf im Chat, PDF-Extraktion, Upload-Limit, CSRF-Schutz, Streaming und Audit-Einträge. Der Docker-Build selbst wurde mangels Docker-Daemon nicht ausgeführt, das Produktions-Layout aber lokal gestartet.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Portal – Architekturkonzept</dc:title>
  <dc:description>Claude Docs node/fc1e440e-88a4@38 docx-w6</dc:description>
  <cp:revision>38</cp:revision>
</cp:coreProperties>
</file>