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4524A5"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w:t>
      </w:r>
      <w:r w:rsidR="009A6624" w:rsidRPr="00F32E16">
        <w:rPr>
          <w:rFonts w:cs="Calibri"/>
          <w:b/>
          <w:bCs/>
        </w:rPr>
        <w:t>(Figure 1 – Panel 1)</w:t>
      </w:r>
      <w:r w:rsidR="009A6624">
        <w:rPr>
          <w:rFonts w:cs="Calibri"/>
        </w:rPr>
        <w:t xml:space="preserve">.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7190BCEC" w:rsidR="009A6624" w:rsidRPr="0017039C" w:rsidRDefault="009A6624" w:rsidP="009A6624">
      <w:pPr>
        <w:pStyle w:val="Caption"/>
        <w:keepNext/>
        <w:spacing w:after="0"/>
        <w:jc w:val="center"/>
        <w:rPr>
          <w:rFonts w:cs="Calibri"/>
          <w:b/>
          <w:bCs/>
          <w:i w:val="0"/>
          <w:iCs w:val="0"/>
          <w:caps/>
          <w:sz w:val="22"/>
          <w:szCs w:val="22"/>
        </w:rPr>
      </w:pPr>
      <w:commentRangeStart w:id="3"/>
      <w:commentRangeStart w:id="4"/>
      <w:r w:rsidRPr="0017039C">
        <w:rPr>
          <w:rFonts w:cs="Calibri"/>
          <w:b/>
          <w:bCs/>
          <w:i w:val="0"/>
          <w:iCs w:val="0"/>
          <w:caps/>
          <w:sz w:val="22"/>
          <w:szCs w:val="22"/>
        </w:rPr>
        <w:t xml:space="preserve">Figure </w:t>
      </w:r>
      <w:r w:rsidRPr="0017039C">
        <w:rPr>
          <w:rFonts w:cs="Calibri"/>
          <w:b/>
          <w:bCs/>
          <w:i w:val="0"/>
          <w:iCs w:val="0"/>
          <w:caps/>
          <w:sz w:val="22"/>
          <w:szCs w:val="22"/>
        </w:rPr>
        <w:fldChar w:fldCharType="begin"/>
      </w:r>
      <w:r w:rsidRPr="0017039C">
        <w:rPr>
          <w:rFonts w:cs="Calibri"/>
          <w:b/>
          <w:bCs/>
          <w:i w:val="0"/>
          <w:iCs w:val="0"/>
          <w:caps/>
          <w:sz w:val="22"/>
          <w:szCs w:val="22"/>
        </w:rPr>
        <w:instrText xml:space="preserve"> SEQ Figure \* ARABIC </w:instrText>
      </w:r>
      <w:r w:rsidRPr="0017039C">
        <w:rPr>
          <w:rFonts w:cs="Calibri"/>
          <w:b/>
          <w:bCs/>
          <w:i w:val="0"/>
          <w:iCs w:val="0"/>
          <w:caps/>
          <w:sz w:val="22"/>
          <w:szCs w:val="22"/>
        </w:rPr>
        <w:fldChar w:fldCharType="separate"/>
      </w:r>
      <w:r w:rsidR="00B81589">
        <w:rPr>
          <w:rFonts w:cs="Calibri"/>
          <w:b/>
          <w:bCs/>
          <w:i w:val="0"/>
          <w:iCs w:val="0"/>
          <w:caps/>
          <w:noProof/>
          <w:sz w:val="22"/>
          <w:szCs w:val="22"/>
        </w:rPr>
        <w:t>1</w:t>
      </w:r>
      <w:r w:rsidRPr="0017039C">
        <w:rPr>
          <w:rFonts w:cs="Calibri"/>
          <w:b/>
          <w:bCs/>
          <w:i w:val="0"/>
          <w:iCs w:val="0"/>
          <w:caps/>
          <w:sz w:val="22"/>
          <w:szCs w:val="22"/>
        </w:rPr>
        <w:fldChar w:fldCharType="end"/>
      </w:r>
      <w:r w:rsidRPr="0017039C">
        <w:rPr>
          <w:rFonts w:cs="Calibri"/>
          <w:b/>
          <w:bCs/>
          <w:i w:val="0"/>
          <w:iCs w:val="0"/>
          <w:caps/>
          <w:sz w:val="22"/>
          <w:szCs w:val="22"/>
        </w:rPr>
        <w:t xml:space="preserve">: </w:t>
      </w:r>
      <w:commentRangeEnd w:id="3"/>
      <w:r w:rsidR="004524A5" w:rsidRPr="00A35137">
        <w:rPr>
          <w:rStyle w:val="CommentReference"/>
          <w:rFonts w:cs="Calibri"/>
          <w:b/>
          <w:bCs/>
          <w:i w:val="0"/>
          <w:iCs w:val="0"/>
          <w:caps/>
          <w:sz w:val="22"/>
          <w:szCs w:val="22"/>
        </w:rPr>
        <w:commentReference w:id="3"/>
      </w:r>
      <w:commentRangeEnd w:id="4"/>
      <w:r w:rsidR="00122967" w:rsidRPr="00A35137">
        <w:rPr>
          <w:rStyle w:val="CommentReference"/>
          <w:rFonts w:cs="Calibri"/>
          <w:b/>
          <w:bCs/>
          <w:i w:val="0"/>
          <w:iCs w:val="0"/>
          <w:caps/>
          <w:sz w:val="22"/>
          <w:szCs w:val="22"/>
        </w:rPr>
        <w:commentReference w:id="4"/>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5"/>
      <w:r w:rsidRPr="007C79B8">
        <w:rPr>
          <w:rFonts w:cs="Calibri"/>
          <w:b/>
          <w:bCs/>
          <w:i w:val="0"/>
          <w:iCs w:val="0"/>
          <w:sz w:val="22"/>
          <w:szCs w:val="22"/>
        </w:rPr>
        <w:t>Belize Real GDP Growth, Annual percentage and 5-Year Average (1980 – 2025)</w:t>
      </w:r>
      <w:commentRangeEnd w:id="5"/>
      <w:r w:rsidR="004524A5" w:rsidRPr="00A35137">
        <w:rPr>
          <w:rStyle w:val="CommentReference"/>
          <w:rFonts w:cs="Calibri"/>
          <w:b/>
          <w:bCs/>
          <w:i w:val="0"/>
          <w:iCs w:val="0"/>
          <w:sz w:val="22"/>
          <w:szCs w:val="22"/>
        </w:rPr>
        <w:commentReference w:id="5"/>
      </w:r>
    </w:p>
    <w:p w14:paraId="37F6DCFC" w14:textId="77777777" w:rsidR="009A6624" w:rsidRPr="00A35137" w:rsidRDefault="009A6624" w:rsidP="009A6624">
      <w:pPr>
        <w:pStyle w:val="BodyText"/>
        <w:ind w:right="-447"/>
        <w:jc w:val="both"/>
        <w:rPr>
          <w:rFonts w:cs="Calibri"/>
        </w:rPr>
      </w:pPr>
      <w:r w:rsidRPr="00956855">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sidRPr="00F32E16">
        <w:rPr>
          <w:rFonts w:cs="Calibri"/>
          <w:b/>
          <w:bCs/>
        </w:rPr>
        <w:t>Panel 2</w:t>
      </w:r>
      <w:r>
        <w:rPr>
          <w:rFonts w:cs="Calibri"/>
        </w:rPr>
        <w:t xml:space="preserve">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46A72A15" w14:textId="28508BCA" w:rsidR="00505A7A" w:rsidRPr="009A6624" w:rsidRDefault="00505A7A" w:rsidP="00FE75EE">
      <w:pPr>
        <w:pStyle w:val="Heading2"/>
        <w:spacing w:after="0"/>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1CFFC650" w14:textId="77777777" w:rsidR="00A96CB5" w:rsidRDefault="00A96CB5" w:rsidP="009B6503">
      <w:pPr>
        <w:pStyle w:val="BodyText"/>
        <w:ind w:right="4"/>
        <w:jc w:val="both"/>
        <w:rPr>
          <w:rFonts w:cs="Calibri"/>
          <w:b/>
          <w:bCs/>
        </w:rPr>
      </w:pPr>
    </w:p>
    <w:p w14:paraId="44F5EF29" w14:textId="00D24077" w:rsidR="00E76367" w:rsidRDefault="00F32E16" w:rsidP="009B6503">
      <w:pPr>
        <w:pStyle w:val="BodyText"/>
        <w:ind w:right="4"/>
        <w:jc w:val="both"/>
        <w:rPr>
          <w:rFonts w:cs="Calibri"/>
        </w:rPr>
      </w:pPr>
      <w:r w:rsidRPr="00844665">
        <w:rPr>
          <w:rFonts w:cs="Calibri"/>
          <w:b/>
          <w:bCs/>
          <w:highlight w:val="yellow"/>
        </w:rPr>
        <w:t>Panel 1 and 2 of (Figure 2)</w:t>
      </w:r>
      <w:r w:rsidRPr="00844665">
        <w:rPr>
          <w:rFonts w:cs="Calibri"/>
          <w:highlight w:val="yellow"/>
        </w:rPr>
        <w:t xml:space="preserve"> provide important insights into the nature of Belize’s structural transformation and the evolving drivers of economic growth over the period 1980-2024.</w:t>
      </w:r>
      <w:r>
        <w:rPr>
          <w:rFonts w:cs="Calibri"/>
        </w:rPr>
        <w:t xml:space="preserve"> Taken together, the figures suggest that Belize has experienced a gradual transition from a production str</w:t>
      </w:r>
      <w:r w:rsidR="00A96CB5">
        <w:rPr>
          <w:rFonts w:cs="Calibri"/>
        </w:rPr>
        <w:t>ucture historically anchored in primary and secondary activities toward a more service-dominated economy. However, this transformation does not appear to have been accompanied by sustained industrial deepening or strong productivity-enhancing structural change. Instead, growth relied on services activity, particularly wholesale and retail trade, tourism-related services, public administration and a broad range of other service activities.</w:t>
      </w:r>
    </w:p>
    <w:p w14:paraId="7D832D25" w14:textId="77777777" w:rsidR="00A96CB5" w:rsidRDefault="00A96CB5" w:rsidP="009B6503">
      <w:pPr>
        <w:pStyle w:val="BodyText"/>
        <w:ind w:right="4"/>
        <w:jc w:val="both"/>
        <w:rPr>
          <w:rFonts w:cs="Calibri"/>
        </w:rPr>
      </w:pPr>
    </w:p>
    <w:p w14:paraId="3D0F944E" w14:textId="46F2F243" w:rsidR="00A96CB5" w:rsidRDefault="00A96CB5" w:rsidP="009B6503">
      <w:pPr>
        <w:pStyle w:val="BodyText"/>
        <w:ind w:right="4"/>
        <w:jc w:val="both"/>
        <w:rPr>
          <w:rFonts w:cs="Calibri"/>
        </w:rPr>
      </w:pPr>
      <w:r>
        <w:rPr>
          <w:rFonts w:cs="Calibri"/>
        </w:rPr>
        <w:t>Panel 1 highlights the changing composition of GDP over successive five-year periods. During the early 1980s, the Belizean economy was characterized by a relatively large contribution from the primary and secondary sectors, reflecting the importance of agriculture, fisheries, extractive activities</w:t>
      </w:r>
      <w:r w:rsidR="00844665">
        <w:rPr>
          <w:rFonts w:cs="Calibri"/>
        </w:rPr>
        <w:t xml:space="preserve">, manufacturing and construction. Over time, however, the relative contribution of these sectors weakened. The declining share of the secondary sector is </w:t>
      </w:r>
      <w:r w:rsidR="00844665">
        <w:rPr>
          <w:rFonts w:cs="Calibri"/>
        </w:rPr>
        <w:lastRenderedPageBreak/>
        <w:t xml:space="preserve">particularly significant, as it suggests limited industrialization and an absence of sustained manufacturing expansion. </w:t>
      </w:r>
      <w:r w:rsidR="00844665" w:rsidRPr="00844665">
        <w:rPr>
          <w:rFonts w:cs="Calibri"/>
        </w:rPr>
        <w:t>In many successful developing economies, industrial deepening and export-oriented manufacturing serve as critical engines of productivity growth, technological upgrading, and employment generation. Belize’s experience appears to diverge from this pattern, indicating a transition toward services before the establishment of a robust industrial base.</w:t>
      </w:r>
    </w:p>
    <w:p w14:paraId="23C110A4" w14:textId="77777777" w:rsidR="00FE75EE" w:rsidRDefault="00FE75EE" w:rsidP="009B6503">
      <w:pPr>
        <w:pStyle w:val="BodyText"/>
        <w:ind w:right="4"/>
        <w:jc w:val="both"/>
        <w:rPr>
          <w:rFonts w:cs="Calibri"/>
        </w:rPr>
      </w:pPr>
    </w:p>
    <w:p w14:paraId="72738E12" w14:textId="77777777" w:rsidR="00FE75EE" w:rsidRDefault="00FE75EE" w:rsidP="00FE75EE">
      <w:pPr>
        <w:pStyle w:val="BodyText"/>
        <w:ind w:right="4"/>
        <w:jc w:val="both"/>
        <w:rPr>
          <w:rFonts w:cs="Calibri"/>
        </w:rPr>
      </w:pPr>
      <w:r w:rsidRPr="00FE75EE">
        <w:rPr>
          <w:rFonts w:cs="Calibri"/>
        </w:rPr>
        <w:t>At the same time, the graph points to the growing dominance of services-related activities. Wholesale and retail trade expanded steadily over time and became one of the largest identifiable contributors to economic activity. This likely reflects increasing domestic consumption, import-related trade activity, tourism spending, and the expansion of commercial services. Accommodation and food services also increased in importance, underscoring the growing role of tourism as a central pillar of the Belizean economy. The increasing share of public administration suggests a relatively larger role of government activity in supporting aggregate demand and employment, particularly during periods of weak private sector momentum. Administrative and support services also expanded modestly, potentially reflecting the emergence of modern service activities, including outsourcing and business support operations.</w:t>
      </w:r>
    </w:p>
    <w:p w14:paraId="00881D34" w14:textId="77777777" w:rsidR="00BB05D4" w:rsidRDefault="00BB05D4" w:rsidP="009B6503">
      <w:pPr>
        <w:pStyle w:val="BodyText"/>
        <w:ind w:right="4"/>
        <w:jc w:val="both"/>
        <w:rPr>
          <w:rFonts w:cs="Calibri"/>
        </w:rPr>
      </w:pPr>
    </w:p>
    <w:p w14:paraId="5652CF31" w14:textId="0B51D544" w:rsidR="00F32E16" w:rsidRPr="00F32E16" w:rsidRDefault="00F32E16" w:rsidP="00F32E16">
      <w:pPr>
        <w:pStyle w:val="Caption"/>
        <w:keepNext/>
        <w:jc w:val="center"/>
        <w:rPr>
          <w:b/>
          <w:bCs/>
          <w:i w:val="0"/>
          <w:iCs w:val="0"/>
          <w:sz w:val="22"/>
          <w:szCs w:val="22"/>
        </w:rPr>
      </w:pPr>
      <w:commentRangeStart w:id="6"/>
      <w:r w:rsidRPr="00F32E16">
        <w:rPr>
          <w:b/>
          <w:bCs/>
          <w:i w:val="0"/>
          <w:iCs w:val="0"/>
          <w:sz w:val="22"/>
          <w:szCs w:val="22"/>
        </w:rPr>
        <w:t xml:space="preserve">Figure </w:t>
      </w:r>
      <w:r w:rsidRPr="00F32E16">
        <w:rPr>
          <w:b/>
          <w:bCs/>
          <w:i w:val="0"/>
          <w:iCs w:val="0"/>
          <w:sz w:val="22"/>
          <w:szCs w:val="22"/>
        </w:rPr>
        <w:fldChar w:fldCharType="begin"/>
      </w:r>
      <w:r w:rsidRPr="00F32E16">
        <w:rPr>
          <w:b/>
          <w:bCs/>
          <w:i w:val="0"/>
          <w:iCs w:val="0"/>
          <w:sz w:val="22"/>
          <w:szCs w:val="22"/>
        </w:rPr>
        <w:instrText xml:space="preserve"> SEQ Figure \* ARABIC </w:instrText>
      </w:r>
      <w:r w:rsidRPr="00F32E16">
        <w:rPr>
          <w:b/>
          <w:bCs/>
          <w:i w:val="0"/>
          <w:iCs w:val="0"/>
          <w:sz w:val="22"/>
          <w:szCs w:val="22"/>
        </w:rPr>
        <w:fldChar w:fldCharType="separate"/>
      </w:r>
      <w:r w:rsidR="00B81589">
        <w:rPr>
          <w:b/>
          <w:bCs/>
          <w:i w:val="0"/>
          <w:iCs w:val="0"/>
          <w:noProof/>
          <w:sz w:val="22"/>
          <w:szCs w:val="22"/>
        </w:rPr>
        <w:t>2</w:t>
      </w:r>
      <w:r w:rsidRPr="00F32E16">
        <w:rPr>
          <w:b/>
          <w:bCs/>
          <w:i w:val="0"/>
          <w:iCs w:val="0"/>
          <w:sz w:val="22"/>
          <w:szCs w:val="22"/>
        </w:rPr>
        <w:fldChar w:fldCharType="end"/>
      </w:r>
      <w:r w:rsidRPr="00F32E16">
        <w:rPr>
          <w:b/>
          <w:bCs/>
          <w:i w:val="0"/>
          <w:iCs w:val="0"/>
          <w:sz w:val="22"/>
          <w:szCs w:val="22"/>
        </w:rPr>
        <w:t>:</w:t>
      </w:r>
      <w:commentRangeEnd w:id="6"/>
      <w:r w:rsidR="00FE75EE">
        <w:rPr>
          <w:rStyle w:val="CommentReference"/>
          <w:b/>
          <w:bCs/>
          <w:i w:val="0"/>
          <w:iCs w:val="0"/>
          <w:sz w:val="22"/>
          <w:szCs w:val="22"/>
        </w:rPr>
        <w:commentReference w:id="6"/>
      </w:r>
    </w:p>
    <w:p w14:paraId="23087221" w14:textId="5C2FD94F" w:rsidR="00F32E16" w:rsidRDefault="00F32E16" w:rsidP="009B6503">
      <w:pPr>
        <w:pStyle w:val="BodyText"/>
        <w:ind w:right="4"/>
        <w:jc w:val="both"/>
        <w:rPr>
          <w:rFonts w:cs="Calibri"/>
        </w:rPr>
      </w:pPr>
      <w:r w:rsidRPr="00F32E16">
        <w:rPr>
          <w:rFonts w:cs="Calibri"/>
        </w:rPr>
        <w:drawing>
          <wp:inline distT="0" distB="0" distL="0" distR="0" wp14:anchorId="32B094C0" wp14:editId="23BBFBC6">
            <wp:extent cx="5943600" cy="4265295"/>
            <wp:effectExtent l="0" t="0" r="0" b="1905"/>
            <wp:docPr id="19809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1572" name=""/>
                    <pic:cNvPicPr/>
                  </pic:nvPicPr>
                  <pic:blipFill>
                    <a:blip r:embed="rId13"/>
                    <a:stretch>
                      <a:fillRect/>
                    </a:stretch>
                  </pic:blipFill>
                  <pic:spPr>
                    <a:xfrm>
                      <a:off x="0" y="0"/>
                      <a:ext cx="5943600" cy="4265295"/>
                    </a:xfrm>
                    <a:prstGeom prst="rect">
                      <a:avLst/>
                    </a:prstGeom>
                  </pic:spPr>
                </pic:pic>
              </a:graphicData>
            </a:graphic>
          </wp:inline>
        </w:drawing>
      </w:r>
    </w:p>
    <w:p w14:paraId="43D2F993" w14:textId="77777777" w:rsidR="00F32E16" w:rsidRDefault="00F32E16" w:rsidP="009B6503">
      <w:pPr>
        <w:pStyle w:val="BodyText"/>
        <w:ind w:right="4"/>
        <w:jc w:val="both"/>
        <w:rPr>
          <w:rFonts w:cs="Calibri"/>
        </w:rPr>
      </w:pPr>
    </w:p>
    <w:p w14:paraId="19EF93ED" w14:textId="77777777" w:rsidR="00844665" w:rsidRDefault="00844665" w:rsidP="009B6503">
      <w:pPr>
        <w:pStyle w:val="BodyText"/>
        <w:ind w:right="4"/>
        <w:jc w:val="both"/>
        <w:rPr>
          <w:rFonts w:cs="Calibri"/>
        </w:rPr>
      </w:pPr>
    </w:p>
    <w:p w14:paraId="3E811572" w14:textId="77777777" w:rsidR="00FE75EE" w:rsidRDefault="00FE75EE" w:rsidP="009B6503">
      <w:pPr>
        <w:pStyle w:val="BodyText"/>
        <w:ind w:right="4"/>
        <w:jc w:val="both"/>
        <w:rPr>
          <w:rFonts w:cs="Calibri"/>
        </w:rPr>
      </w:pPr>
    </w:p>
    <w:p w14:paraId="1EA1CB8D" w14:textId="4AF7C908" w:rsidR="00844665" w:rsidRDefault="00FE75EE" w:rsidP="009B6503">
      <w:pPr>
        <w:pStyle w:val="BodyText"/>
        <w:ind w:right="4"/>
        <w:jc w:val="both"/>
        <w:rPr>
          <w:rFonts w:cs="Calibri"/>
        </w:rPr>
      </w:pPr>
      <w:r w:rsidRPr="00FE75EE">
        <w:rPr>
          <w:rFonts w:cs="Calibri"/>
        </w:rPr>
        <w:lastRenderedPageBreak/>
        <w:t>Another notable feature of Panel 1 is the persistently large contribution of “Other Services.” This indicates that a substantial share of economic activity is concentrated in a diverse range of tertiary activities outside the core productive sectors. While services expansion can support employment generation and urbanization, many service activities</w:t>
      </w:r>
      <w:r>
        <w:rPr>
          <w:rFonts w:cs="Calibri"/>
        </w:rPr>
        <w:t xml:space="preserve">, </w:t>
      </w:r>
      <w:r w:rsidRPr="00FE75EE">
        <w:rPr>
          <w:rFonts w:cs="Calibri"/>
        </w:rPr>
        <w:t>particularly non-tradable domestic services</w:t>
      </w:r>
      <w:r>
        <w:rPr>
          <w:rFonts w:cs="Calibri"/>
        </w:rPr>
        <w:t xml:space="preserve"> </w:t>
      </w:r>
      <w:r w:rsidRPr="00FE75EE">
        <w:rPr>
          <w:rFonts w:cs="Calibri"/>
        </w:rPr>
        <w:t>tend to exhibit lower productivity growth than manufacturing and technologically advanced tradable sectors. As a result, the structural shift toward services may have supported employment and consumption growth without generating sufficiently strong gains in productivity and export competitiveness.</w:t>
      </w:r>
    </w:p>
    <w:p w14:paraId="2B0B9967" w14:textId="77777777" w:rsidR="00844665" w:rsidRDefault="00844665" w:rsidP="009B6503">
      <w:pPr>
        <w:pStyle w:val="BodyText"/>
        <w:ind w:right="4"/>
        <w:jc w:val="both"/>
        <w:rPr>
          <w:rFonts w:cs="Calibri"/>
        </w:rPr>
      </w:pPr>
    </w:p>
    <w:p w14:paraId="18CA54EE" w14:textId="1750C85A" w:rsidR="00FE75EE" w:rsidRDefault="00FE75EE" w:rsidP="009B6503">
      <w:pPr>
        <w:pStyle w:val="BodyText"/>
        <w:ind w:right="4"/>
        <w:jc w:val="both"/>
        <w:rPr>
          <w:rFonts w:cs="Calibri"/>
        </w:rPr>
      </w:pPr>
      <w:r w:rsidRPr="00FE75EE">
        <w:rPr>
          <w:rFonts w:cs="Calibri"/>
        </w:rPr>
        <w:t>The rising contribution of taxes less subsidies over time is also noteworthy. This trend may reflect the increasing importance of indirect taxation, import-related tax revenues, tourism-related fiscal receipts, and broader fiscal reforms, including the expansion of consumption-based taxation systems. This suggests that fiscal revenues became increasingly linked to domestic demand and services activity rather than the expansion of productive export sectors.</w:t>
      </w:r>
    </w:p>
    <w:p w14:paraId="018A1F2D" w14:textId="77777777" w:rsidR="00844665" w:rsidRDefault="00844665" w:rsidP="009B6503">
      <w:pPr>
        <w:pStyle w:val="BodyText"/>
        <w:ind w:right="4"/>
        <w:jc w:val="both"/>
        <w:rPr>
          <w:rFonts w:cs="Calibri"/>
        </w:rPr>
      </w:pPr>
    </w:p>
    <w:p w14:paraId="50D974E7" w14:textId="37784673" w:rsidR="00844665" w:rsidRDefault="00FE75EE" w:rsidP="009B6503">
      <w:pPr>
        <w:pStyle w:val="BodyText"/>
        <w:ind w:right="4"/>
        <w:jc w:val="both"/>
        <w:rPr>
          <w:rFonts w:cs="Calibri"/>
        </w:rPr>
      </w:pPr>
      <w:r w:rsidRPr="00FE75EE">
        <w:rPr>
          <w:rFonts w:cs="Calibri"/>
        </w:rPr>
        <w:t>Panel 2 complements this structural analysis by examining the contribution of sectors to real GDP growth across successive five-year periods. The figure reveals a clear deceleration in long-run economic growth over time. The strongest growth performance occurred during the late 1980s and 1990s, when average real GDP growth exceeded 5 percent and contributions were relatively broad-based across multiple sectors. During this period, the economy benefited from stronger contributions from the primary sector, secondary activities, wholesale and retail trade, and services. This likely reflected a combination of agricultural expansion, tourism growth, investment inflows, and broader macroeconomic stabilization.</w:t>
      </w:r>
    </w:p>
    <w:p w14:paraId="1273FBF9" w14:textId="77777777" w:rsidR="00FE75EE" w:rsidRDefault="00FE75EE" w:rsidP="009B6503">
      <w:pPr>
        <w:pStyle w:val="BodyText"/>
        <w:ind w:right="4"/>
        <w:jc w:val="both"/>
        <w:rPr>
          <w:rFonts w:cs="Calibri"/>
        </w:rPr>
      </w:pPr>
    </w:p>
    <w:p w14:paraId="12BF2F1E" w14:textId="669CAAAA" w:rsidR="00FE75EE" w:rsidRDefault="00FE75EE" w:rsidP="009B6503">
      <w:pPr>
        <w:pStyle w:val="BodyText"/>
        <w:ind w:right="4"/>
        <w:jc w:val="both"/>
        <w:rPr>
          <w:rFonts w:cs="Calibri"/>
        </w:rPr>
      </w:pPr>
      <w:r w:rsidRPr="00FE75EE">
        <w:rPr>
          <w:rFonts w:cs="Calibri"/>
        </w:rPr>
        <w:t>In contrast, the post-2000 period is characterized by progressively weaker growth contributions. Contributions from the primary and secondary sectors diminished noticeably, while services became increasingly dominant as drivers of growth. This pattern suggests weakening structural productivity momentum and growing dependence on consumption-oriented and tourism-related activities. Although wholesale and retail trade and accommodation and food services continued to support economic activity, these sectors alone were insufficient to sustain the high growth rates observed in earlier decades.</w:t>
      </w:r>
    </w:p>
    <w:p w14:paraId="501E83B3" w14:textId="77777777" w:rsidR="00FE75EE" w:rsidRDefault="00FE75EE" w:rsidP="009B6503">
      <w:pPr>
        <w:pStyle w:val="BodyText"/>
        <w:ind w:right="4"/>
        <w:jc w:val="both"/>
        <w:rPr>
          <w:rFonts w:cs="Calibri"/>
        </w:rPr>
      </w:pPr>
    </w:p>
    <w:p w14:paraId="6220141E" w14:textId="250E2128" w:rsidR="00FE75EE" w:rsidRDefault="00FE75EE" w:rsidP="009B6503">
      <w:pPr>
        <w:pStyle w:val="BodyText"/>
        <w:ind w:right="4"/>
        <w:jc w:val="both"/>
        <w:rPr>
          <w:rFonts w:cs="Calibri"/>
        </w:rPr>
      </w:pPr>
      <w:r w:rsidRPr="00FE75EE">
        <w:rPr>
          <w:rFonts w:cs="Calibri"/>
        </w:rPr>
        <w:t>The 2016–20 period represents the weakest performance in the series and captures the severe economic disruption associated with the COVID-19 pandemic and the collapse in international tourism. Multiple sectors recorded negative contributions to growth, highlighting the vulnerability of Belize’s economic model to external shocks and fluctuations in global tourism demand. The contraction demonstrates the extent to which economic activity had become concentrated in externally dependent service sectors.</w:t>
      </w:r>
    </w:p>
    <w:p w14:paraId="197740B9" w14:textId="77777777" w:rsidR="00844665" w:rsidRDefault="00844665" w:rsidP="009B6503">
      <w:pPr>
        <w:pStyle w:val="BodyText"/>
        <w:ind w:right="4"/>
        <w:jc w:val="both"/>
        <w:rPr>
          <w:rFonts w:cs="Calibri"/>
        </w:rPr>
      </w:pPr>
    </w:p>
    <w:p w14:paraId="51781C4E" w14:textId="2939B23A" w:rsidR="00844665" w:rsidRDefault="00FE75EE" w:rsidP="009B6503">
      <w:pPr>
        <w:pStyle w:val="BodyText"/>
        <w:ind w:right="4"/>
        <w:jc w:val="both"/>
        <w:rPr>
          <w:rFonts w:cs="Calibri"/>
        </w:rPr>
      </w:pPr>
      <w:r w:rsidRPr="00FE75EE">
        <w:rPr>
          <w:rFonts w:cs="Calibri"/>
        </w:rPr>
        <w:t>The subsequent rebound during 2021–24 reflects the normalization of tourism activity, recovery in domestic demand, and improvements in wholesale and retail trade and other service sectors. However, the composition of the recovery is analytically important. The rebound appears to have been driven primarily by cyclical recovery in services rather than a structural transformation in productive capacity. Contributions from the primary and secondary sectors remained comparatively modest, suggesting that the recovery did not fundamentally alter the underlying growth model.</w:t>
      </w:r>
    </w:p>
    <w:p w14:paraId="233788D1" w14:textId="77777777" w:rsidR="00FE75EE" w:rsidRDefault="00FE75EE" w:rsidP="009B6503">
      <w:pPr>
        <w:pStyle w:val="BodyText"/>
        <w:ind w:right="4"/>
        <w:jc w:val="both"/>
        <w:rPr>
          <w:rFonts w:cs="Calibri"/>
        </w:rPr>
      </w:pPr>
    </w:p>
    <w:p w14:paraId="5F4C54A2" w14:textId="51B6221A" w:rsidR="00FE75EE" w:rsidRDefault="00FE75EE" w:rsidP="009B6503">
      <w:pPr>
        <w:pStyle w:val="BodyText"/>
        <w:ind w:right="4"/>
        <w:jc w:val="both"/>
        <w:rPr>
          <w:rFonts w:cs="Calibri"/>
        </w:rPr>
      </w:pPr>
      <w:r w:rsidRPr="00FE75EE">
        <w:rPr>
          <w:rFonts w:cs="Calibri"/>
        </w:rPr>
        <w:t xml:space="preserve">Overall, the evidence from the two panels suggests that Belize’s development trajectory has been characterized by services-led structural transformation combined with limited industrial deepening and slowing long-run growth performance. While the expansion of services has </w:t>
      </w:r>
      <w:r w:rsidRPr="00FE75EE">
        <w:rPr>
          <w:rFonts w:cs="Calibri"/>
        </w:rPr>
        <w:lastRenderedPageBreak/>
        <w:t>supported employment creation and economic diversification away from traditional agriculture, the economy remains highly dependent on tourism and domestic services activity. This pattern may help explain the weakening contribution of productivity growth observed in the broader growth accounting analysis and underscores the importance of policies aimed at enhancing productive capacity, export sophistication, resilience, and technological upgrading.</w:t>
      </w:r>
    </w:p>
    <w:p w14:paraId="57C38A51" w14:textId="77777777" w:rsidR="00FE75EE" w:rsidRDefault="00FE75EE" w:rsidP="00FE75EE">
      <w:pPr>
        <w:pStyle w:val="BodyText"/>
        <w:ind w:right="4"/>
        <w:jc w:val="center"/>
        <w:rPr>
          <w:rFonts w:cs="Calibri"/>
          <w:b/>
          <w:bCs/>
        </w:rPr>
      </w:pPr>
    </w:p>
    <w:p w14:paraId="57024CD1" w14:textId="1612513F" w:rsidR="00844665" w:rsidRPr="00FE75EE" w:rsidRDefault="00FE75EE" w:rsidP="00FE75EE">
      <w:pPr>
        <w:pStyle w:val="BodyText"/>
        <w:ind w:right="4"/>
        <w:jc w:val="center"/>
        <w:rPr>
          <w:rFonts w:cs="Calibri"/>
          <w:b/>
          <w:bCs/>
        </w:rPr>
      </w:pPr>
      <w:r w:rsidRPr="00355690">
        <w:rPr>
          <w:rFonts w:cs="Calibri"/>
          <w:b/>
          <w:bCs/>
          <w:highlight w:val="yellow"/>
        </w:rPr>
        <w:t>******TOURISM******</w:t>
      </w:r>
    </w:p>
    <w:p w14:paraId="29C94434" w14:textId="77777777" w:rsidR="00F32E16" w:rsidRDefault="00F32E16" w:rsidP="00F32E16">
      <w:pPr>
        <w:pStyle w:val="BodyText"/>
        <w:ind w:right="4"/>
        <w:jc w:val="both"/>
        <w:rPr>
          <w:rFonts w:cs="Calibri"/>
        </w:rPr>
      </w:pPr>
      <w:commentRangeStart w:id="7"/>
      <w:r w:rsidRPr="00BC51AF">
        <w:rPr>
          <w:rFonts w:cs="Calibri"/>
          <w:highlight w:val="yellow"/>
        </w:rPr>
        <w:t>The development of tourism services in Belize has contributed significantly to the country’s economic diversification efforts.</w:t>
      </w:r>
      <w:r w:rsidRPr="00512DCB">
        <w:rPr>
          <w:rFonts w:cs="Calibri"/>
        </w:rPr>
        <w:t xml:space="preserve"> </w:t>
      </w:r>
      <w:commentRangeEnd w:id="7"/>
      <w:r>
        <w:rPr>
          <w:rStyle w:val="CommentReference"/>
          <w:rFonts w:cs="Calibri"/>
          <w:sz w:val="22"/>
          <w:szCs w:val="22"/>
        </w:rPr>
        <w:commentReference w:id="7"/>
      </w:r>
      <w:r>
        <w:rPr>
          <w:rFonts w:cs="Calibri"/>
        </w:rPr>
        <w:t>Over time, however, t</w:t>
      </w:r>
      <w:r w:rsidRPr="00512DCB">
        <w:rPr>
          <w:rFonts w:cs="Calibri"/>
        </w:rPr>
        <w:t>he economy</w:t>
      </w:r>
      <w:r>
        <w:rPr>
          <w:rFonts w:cs="Calibri"/>
        </w:rPr>
        <w:t xml:space="preserve"> </w:t>
      </w:r>
      <w:r w:rsidRPr="00512DCB">
        <w:rPr>
          <w:rFonts w:cs="Calibri"/>
        </w:rPr>
        <w:t>has become increasingly concentrated in tourism-related activities</w:t>
      </w:r>
      <w:r>
        <w:rPr>
          <w:rFonts w:cs="Calibri"/>
        </w:rPr>
        <w:t xml:space="preserve">, </w:t>
      </w:r>
      <w:r w:rsidRPr="00F858A5">
        <w:rPr>
          <w:rFonts w:cs="Calibri"/>
        </w:rPr>
        <w:t>position</w:t>
      </w:r>
      <w:r>
        <w:rPr>
          <w:rFonts w:cs="Calibri"/>
        </w:rPr>
        <w:t>ing</w:t>
      </w:r>
      <w:r w:rsidRPr="00F858A5">
        <w:rPr>
          <w:rFonts w:cs="Calibri"/>
        </w:rPr>
        <w:t xml:space="preserve"> the sector as a </w:t>
      </w:r>
      <w:r>
        <w:rPr>
          <w:rFonts w:cs="Calibri"/>
        </w:rPr>
        <w:t>principal</w:t>
      </w:r>
      <w:r w:rsidRPr="00F858A5">
        <w:rPr>
          <w:rFonts w:cs="Calibri"/>
        </w:rPr>
        <w:t xml:space="preserve"> driver of economic </w:t>
      </w:r>
      <w:r>
        <w:rPr>
          <w:rFonts w:cs="Calibri"/>
        </w:rPr>
        <w:t>growth</w:t>
      </w:r>
      <w:r w:rsidRPr="00F858A5">
        <w:rPr>
          <w:rFonts w:cs="Calibri"/>
        </w:rPr>
        <w:t>, employment, and foreign exchange earnings</w:t>
      </w:r>
      <w:r>
        <w:rPr>
          <w:rFonts w:cs="Calibri"/>
        </w:rPr>
        <w:t>. This high degree of tourism dependence increases Belize’s exposure to business cycle fluctuations and external demand shocks in major source markets, particularly the United States (US) and the European Union (EU).</w:t>
      </w:r>
    </w:p>
    <w:p w14:paraId="294A4493" w14:textId="77777777" w:rsidR="00F32E16" w:rsidRDefault="00F32E16" w:rsidP="00F32E16">
      <w:pPr>
        <w:pStyle w:val="BodyText"/>
        <w:ind w:right="4"/>
        <w:jc w:val="both"/>
        <w:rPr>
          <w:rFonts w:cs="Calibri"/>
        </w:rPr>
      </w:pPr>
    </w:p>
    <w:p w14:paraId="21359265" w14:textId="77777777" w:rsidR="00F32E16" w:rsidRDefault="00F32E16" w:rsidP="00F32E16">
      <w:pPr>
        <w:pStyle w:val="BodyText"/>
        <w:ind w:right="4"/>
        <w:jc w:val="both"/>
        <w:rPr>
          <w:rFonts w:cs="Calibri"/>
        </w:rPr>
      </w:pPr>
      <w:r w:rsidRPr="00BC51AF">
        <w:rPr>
          <w:rFonts w:cs="Calibri"/>
          <w:highlight w:val="yellow"/>
        </w:rPr>
        <w:t>The rapid expansion of tourism has significantly reshaped the economic landscape of Belize over the past two decades.</w:t>
      </w:r>
      <w:r>
        <w:rPr>
          <w:rFonts w:cs="Calibri"/>
        </w:rPr>
        <w:t xml:space="preserve"> </w:t>
      </w:r>
      <w:commentRangeStart w:id="8"/>
      <w:r>
        <w:rPr>
          <w:rFonts w:cs="Calibri"/>
        </w:rPr>
        <w:t xml:space="preserve">Estimates from the </w:t>
      </w:r>
      <w:r w:rsidRPr="00512DCB">
        <w:rPr>
          <w:rFonts w:cs="Calibri"/>
        </w:rPr>
        <w:t>World Travel and Tourism Council (WTTC)</w:t>
      </w:r>
      <w:r>
        <w:rPr>
          <w:rFonts w:cs="Calibri"/>
        </w:rPr>
        <w:t xml:space="preserve"> indicate that the sector </w:t>
      </w:r>
      <w:r w:rsidRPr="00512DCB">
        <w:rPr>
          <w:rFonts w:cs="Calibri"/>
        </w:rPr>
        <w:t xml:space="preserve">directly and indirectly accounted for </w:t>
      </w:r>
      <w:r>
        <w:rPr>
          <w:rFonts w:cs="Calibri"/>
        </w:rPr>
        <w:t>approximately</w:t>
      </w:r>
      <w:r w:rsidRPr="00512DCB">
        <w:rPr>
          <w:rFonts w:cs="Calibri"/>
        </w:rPr>
        <w:t xml:space="preserve"> 44.4% of GDP in</w:t>
      </w:r>
      <w:r>
        <w:rPr>
          <w:rFonts w:cs="Calibri"/>
        </w:rPr>
        <w:t xml:space="preserve"> both</w:t>
      </w:r>
      <w:r w:rsidRPr="00512DCB">
        <w:rPr>
          <w:rFonts w:cs="Calibri"/>
        </w:rPr>
        <w:t xml:space="preserve"> </w:t>
      </w:r>
      <w:r>
        <w:rPr>
          <w:rFonts w:cs="Calibri"/>
        </w:rPr>
        <w:t xml:space="preserve">2024 and </w:t>
      </w:r>
      <w:r w:rsidRPr="00512DCB">
        <w:rPr>
          <w:rFonts w:cs="Calibri"/>
        </w:rPr>
        <w:t>2025 and is projected to increase to approximately 53.7% by 2035.</w:t>
      </w:r>
      <w:commentRangeEnd w:id="8"/>
      <w:r>
        <w:rPr>
          <w:rStyle w:val="CommentReference"/>
          <w:rFonts w:cs="Calibri"/>
          <w:sz w:val="22"/>
          <w:szCs w:val="22"/>
        </w:rPr>
        <w:commentReference w:id="8"/>
      </w:r>
      <w:r>
        <w:rPr>
          <w:rFonts w:cs="Calibri"/>
        </w:rPr>
        <w:t xml:space="preserve"> </w:t>
      </w:r>
      <w:r w:rsidRPr="00512DCB">
        <w:rPr>
          <w:rFonts w:cs="Calibri"/>
        </w:rPr>
        <w:t>T</w:t>
      </w:r>
      <w:r>
        <w:rPr>
          <w:rFonts w:cs="Calibri"/>
        </w:rPr>
        <w:t>ourism</w:t>
      </w:r>
      <w:r w:rsidRPr="00512DCB">
        <w:rPr>
          <w:rFonts w:cs="Calibri"/>
        </w:rPr>
        <w:t xml:space="preserve"> and its </w:t>
      </w:r>
      <w:r w:rsidRPr="00F858A5">
        <w:rPr>
          <w:rFonts w:cs="Calibri"/>
        </w:rPr>
        <w:t>ancillary services</w:t>
      </w:r>
      <w:r w:rsidRPr="00512DCB">
        <w:rPr>
          <w:rFonts w:cs="Calibri"/>
        </w:rPr>
        <w:t xml:space="preserve"> are </w:t>
      </w:r>
      <w:r>
        <w:rPr>
          <w:rFonts w:cs="Calibri"/>
        </w:rPr>
        <w:t>projected</w:t>
      </w:r>
      <w:r w:rsidRPr="00512DCB">
        <w:rPr>
          <w:rFonts w:cs="Calibri"/>
        </w:rPr>
        <w:t xml:space="preserve"> to h</w:t>
      </w:r>
      <w:r>
        <w:rPr>
          <w:rFonts w:cs="Calibri"/>
        </w:rPr>
        <w:t>ave created</w:t>
      </w:r>
      <w:r w:rsidRPr="00512DCB">
        <w:rPr>
          <w:rFonts w:cs="Calibri"/>
        </w:rPr>
        <w:t xml:space="preserve"> </w:t>
      </w:r>
      <w:r>
        <w:rPr>
          <w:rFonts w:cs="Calibri"/>
        </w:rPr>
        <w:t xml:space="preserve">approximately </w:t>
      </w:r>
      <w:r w:rsidRPr="00512DCB">
        <w:rPr>
          <w:rFonts w:cs="Calibri"/>
        </w:rPr>
        <w:t xml:space="preserve">67,900 jobs </w:t>
      </w:r>
      <w:r>
        <w:rPr>
          <w:rFonts w:cs="Calibri"/>
        </w:rPr>
        <w:t>over the same period</w:t>
      </w:r>
      <w:r w:rsidRPr="00512DCB">
        <w:rPr>
          <w:rFonts w:cs="Calibri"/>
        </w:rPr>
        <w:t>, equivalent to 42.8% of total employment, underscoring Belize’s high degree of tourism dependence</w:t>
      </w:r>
      <w:r w:rsidRPr="00BB05D4">
        <w:rPr>
          <w:rStyle w:val="FootnoteReference"/>
          <w:rFonts w:cs="Calibri"/>
        </w:rPr>
        <w:footnoteReference w:id="4"/>
      </w:r>
      <w:r w:rsidRPr="00BB05D4">
        <w:rPr>
          <w:rFonts w:cs="Calibri"/>
        </w:rPr>
        <w:t>. In contrast, the agricultural sector, while critical for rural livelihoods, its contribution to economic activity has declined over time, falling from 13.0% in 2001 to an estimated 7.9% of GDP in 2024.</w:t>
      </w:r>
    </w:p>
    <w:p w14:paraId="241CB407" w14:textId="77777777" w:rsidR="00F32E16" w:rsidRDefault="00F32E16"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9"/>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9"/>
      <w:r w:rsidR="004524A5" w:rsidRPr="000125FC">
        <w:rPr>
          <w:rStyle w:val="CommentReference"/>
          <w:rFonts w:cs="Calibri"/>
          <w:sz w:val="22"/>
          <w:szCs w:val="22"/>
        </w:rPr>
        <w:commentReference w:id="9"/>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3A64D6B3" w14:textId="77777777" w:rsidR="00355690" w:rsidRDefault="00355690" w:rsidP="009B6503">
      <w:pPr>
        <w:pStyle w:val="BodyText"/>
        <w:ind w:right="4"/>
        <w:jc w:val="both"/>
        <w:rPr>
          <w:rFonts w:cs="Calibri"/>
        </w:rPr>
      </w:pPr>
    </w:p>
    <w:p w14:paraId="7C89314F" w14:textId="32100D86" w:rsidR="00355690" w:rsidRDefault="00355690" w:rsidP="009B6503">
      <w:pPr>
        <w:pStyle w:val="BodyText"/>
        <w:ind w:right="4"/>
        <w:jc w:val="both"/>
        <w:rPr>
          <w:rFonts w:cs="Calibri"/>
        </w:rPr>
      </w:pPr>
      <w:r>
        <w:rPr>
          <w:rFonts w:cs="Calibri"/>
        </w:rPr>
        <w:t>The decomposition of Belize’s average annual real GDP growth reveals important shifts in the country’s growth dynamics over the past four decades.</w:t>
      </w:r>
      <w:r w:rsidR="00936C27">
        <w:rPr>
          <w:rFonts w:cs="Calibri"/>
        </w:rPr>
        <w:t xml:space="preserve"> Overall, the evidence suggests that Belize’s long-run growth model has been driven primarily by physical capital accumulation and labour expansion, while total factor productivity (TFP) growth has remained volatile and increasingly weak over time. Although periods of rapid expansion were supported by positive gains, more recent decades indicate growing reliance on extensive growth through accumulation of factor inputs rather than sustained improvements in economic efficiency and technological progress.</w:t>
      </w:r>
    </w:p>
    <w:p w14:paraId="77C60CA5" w14:textId="77777777" w:rsidR="003F49B5" w:rsidRDefault="003F49B5" w:rsidP="009B6503">
      <w:pPr>
        <w:pStyle w:val="BodyText"/>
        <w:ind w:right="4"/>
        <w:jc w:val="both"/>
        <w:rPr>
          <w:rFonts w:cs="Calibri"/>
        </w:rPr>
      </w:pPr>
    </w:p>
    <w:p w14:paraId="145AC605" w14:textId="3D68A7B9" w:rsidR="00355690" w:rsidRDefault="003F49B5" w:rsidP="009B6503">
      <w:pPr>
        <w:pStyle w:val="BodyText"/>
        <w:ind w:right="4"/>
        <w:jc w:val="both"/>
        <w:rPr>
          <w:rFonts w:cs="Calibri"/>
        </w:rPr>
      </w:pPr>
      <w:r>
        <w:rPr>
          <w:rFonts w:cs="Calibri"/>
        </w:rPr>
        <w:t>During the early 1980s (1981-84), Belize recorded relatively weak growth performance, reflecting difficult external economic conditions that affected many Caribbean and Latin American economies during that period</w:t>
      </w:r>
      <w:r w:rsidR="00C15169">
        <w:rPr>
          <w:rFonts w:cs="Calibri"/>
        </w:rPr>
        <w:t xml:space="preserve"> </w:t>
      </w:r>
      <w:r w:rsidR="00C15169" w:rsidRPr="00C15169">
        <w:rPr>
          <w:rFonts w:cs="Calibri"/>
          <w:highlight w:val="yellow"/>
        </w:rPr>
        <w:t>(Figure 3)</w:t>
      </w:r>
      <w:r w:rsidRPr="00C15169">
        <w:rPr>
          <w:rFonts w:cs="Calibri"/>
          <w:highlight w:val="yellow"/>
        </w:rPr>
        <w:t>.</w:t>
      </w:r>
      <w:r>
        <w:rPr>
          <w:rFonts w:cs="Calibri"/>
        </w:rPr>
        <w:t xml:space="preserve"> Although physical capital and labour </w:t>
      </w:r>
      <w:r>
        <w:rPr>
          <w:rFonts w:cs="Calibri"/>
        </w:rPr>
        <w:lastRenderedPageBreak/>
        <w:t>contributed positively to growth, these gains were more than offset by a large negative contribution from TFP. The findings suggest that the economy faced significant inefficiencies in the utilization of productive resources, weak productive capacity and limited technological adoption. In effect, Belize was expanding factor inputs without achieving corresponding gains in productivity.</w:t>
      </w:r>
    </w:p>
    <w:p w14:paraId="0DBBFD10" w14:textId="77777777" w:rsidR="009B6503" w:rsidRDefault="009B6503" w:rsidP="009B6503">
      <w:pPr>
        <w:pStyle w:val="BodyText"/>
        <w:ind w:right="-23"/>
        <w:jc w:val="both"/>
        <w:rPr>
          <w:rFonts w:cs="Calibri"/>
        </w:rPr>
      </w:pPr>
    </w:p>
    <w:p w14:paraId="1C0B4500" w14:textId="169821E8" w:rsidR="00CC5C70" w:rsidRPr="000F65F2" w:rsidRDefault="00DE0B76" w:rsidP="00CC5C70">
      <w:pPr>
        <w:pStyle w:val="Caption"/>
        <w:keepNext/>
        <w:spacing w:after="0"/>
        <w:jc w:val="center"/>
        <w:rPr>
          <w:b/>
          <w:bCs/>
          <w:i w:val="0"/>
          <w:iCs w:val="0"/>
          <w:sz w:val="22"/>
          <w:szCs w:val="22"/>
        </w:rPr>
      </w:pPr>
      <w:commentRangeStart w:id="10"/>
      <w:commentRangeStart w:id="11"/>
      <w:r w:rsidRPr="000F65F2">
        <w:rPr>
          <w:b/>
          <w:bCs/>
          <w:i w:val="0"/>
          <w:iCs w:val="0"/>
          <w:sz w:val="22"/>
          <w:szCs w:val="22"/>
        </w:rPr>
        <w:t xml:space="preserve">Figure </w:t>
      </w:r>
      <w:r w:rsidRPr="000F65F2">
        <w:rPr>
          <w:b/>
          <w:bCs/>
          <w:i w:val="0"/>
          <w:iCs w:val="0"/>
          <w:sz w:val="22"/>
          <w:szCs w:val="22"/>
        </w:rPr>
        <w:fldChar w:fldCharType="begin"/>
      </w:r>
      <w:r w:rsidRPr="000F65F2">
        <w:rPr>
          <w:b/>
          <w:bCs/>
          <w:i w:val="0"/>
          <w:iCs w:val="0"/>
          <w:sz w:val="22"/>
          <w:szCs w:val="22"/>
        </w:rPr>
        <w:instrText xml:space="preserve"> SEQ Figure \* ARABIC </w:instrText>
      </w:r>
      <w:r w:rsidRPr="000F65F2">
        <w:rPr>
          <w:b/>
          <w:bCs/>
          <w:i w:val="0"/>
          <w:iCs w:val="0"/>
          <w:sz w:val="22"/>
          <w:szCs w:val="22"/>
        </w:rPr>
        <w:fldChar w:fldCharType="separate"/>
      </w:r>
      <w:r w:rsidR="00B81589">
        <w:rPr>
          <w:b/>
          <w:bCs/>
          <w:i w:val="0"/>
          <w:iCs w:val="0"/>
          <w:noProof/>
          <w:sz w:val="22"/>
          <w:szCs w:val="22"/>
        </w:rPr>
        <w:t>3</w:t>
      </w:r>
      <w:r w:rsidRPr="000F65F2">
        <w:rPr>
          <w:b/>
          <w:bCs/>
          <w:i w:val="0"/>
          <w:iCs w:val="0"/>
          <w:sz w:val="22"/>
          <w:szCs w:val="22"/>
        </w:rPr>
        <w:fldChar w:fldCharType="end"/>
      </w:r>
      <w:r w:rsidRPr="000F65F2">
        <w:rPr>
          <w:b/>
          <w:bCs/>
          <w:i w:val="0"/>
          <w:iCs w:val="0"/>
          <w:sz w:val="22"/>
          <w:szCs w:val="22"/>
        </w:rPr>
        <w:t xml:space="preserve">: </w:t>
      </w:r>
    </w:p>
    <w:p w14:paraId="7245E815" w14:textId="5781E98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w:t>
      </w:r>
      <w:r w:rsidR="00355690">
        <w:rPr>
          <w:b/>
          <w:bCs/>
          <w:i w:val="0"/>
          <w:iCs w:val="0"/>
          <w:sz w:val="22"/>
          <w:szCs w:val="22"/>
        </w:rPr>
        <w:t xml:space="preserve">5-Year </w:t>
      </w:r>
      <w:r w:rsidRPr="000F65F2">
        <w:rPr>
          <w:b/>
          <w:bCs/>
          <w:i w:val="0"/>
          <w:iCs w:val="0"/>
          <w:sz w:val="22"/>
          <w:szCs w:val="22"/>
        </w:rPr>
        <w:t>Avg. Contribution to Real GDP)</w:t>
      </w:r>
      <w:commentRangeEnd w:id="10"/>
      <w:r w:rsidR="004524A5" w:rsidRPr="000F65F2">
        <w:rPr>
          <w:rStyle w:val="CommentReference"/>
          <w:b/>
          <w:bCs/>
          <w:i w:val="0"/>
          <w:iCs w:val="0"/>
          <w:sz w:val="22"/>
          <w:szCs w:val="22"/>
        </w:rPr>
        <w:commentReference w:id="10"/>
      </w:r>
      <w:commentRangeEnd w:id="11"/>
      <w:r w:rsidR="00355690" w:rsidRPr="000F65F2">
        <w:rPr>
          <w:rStyle w:val="CommentReference"/>
          <w:b/>
          <w:bCs/>
          <w:i w:val="0"/>
          <w:iCs w:val="0"/>
          <w:sz w:val="22"/>
          <w:szCs w:val="22"/>
        </w:rPr>
        <w:commentReference w:id="11"/>
      </w:r>
    </w:p>
    <w:p w14:paraId="65F8C7D0" w14:textId="10297560" w:rsidR="00DE0B76" w:rsidRDefault="00C15169" w:rsidP="009B6503">
      <w:pPr>
        <w:pStyle w:val="BodyText"/>
        <w:ind w:right="-23"/>
        <w:jc w:val="both"/>
        <w:rPr>
          <w:rFonts w:cs="Calibri"/>
        </w:rPr>
      </w:pPr>
      <w:r w:rsidRPr="00C15169">
        <w:rPr>
          <w:rFonts w:cs="Calibri"/>
        </w:rPr>
        <w:drawing>
          <wp:inline distT="0" distB="0" distL="0" distR="0" wp14:anchorId="2188AFB4" wp14:editId="5AF51BEB">
            <wp:extent cx="5943600" cy="2844800"/>
            <wp:effectExtent l="0" t="0" r="0" b="0"/>
            <wp:docPr id="203614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9683" name=""/>
                    <pic:cNvPicPr/>
                  </pic:nvPicPr>
                  <pic:blipFill>
                    <a:blip r:embed="rId14"/>
                    <a:stretch>
                      <a:fillRect/>
                    </a:stretch>
                  </pic:blipFill>
                  <pic:spPr>
                    <a:xfrm>
                      <a:off x="0" y="0"/>
                      <a:ext cx="5943600" cy="2844800"/>
                    </a:xfrm>
                    <a:prstGeom prst="rect">
                      <a:avLst/>
                    </a:prstGeom>
                  </pic:spPr>
                </pic:pic>
              </a:graphicData>
            </a:graphic>
          </wp:inline>
        </w:drawing>
      </w:r>
    </w:p>
    <w:p w14:paraId="6E1914CD" w14:textId="77777777" w:rsidR="00F512BA" w:rsidRDefault="00F512BA" w:rsidP="009B6503">
      <w:pPr>
        <w:pStyle w:val="BodyText"/>
        <w:ind w:right="-23"/>
        <w:jc w:val="both"/>
        <w:rPr>
          <w:rFonts w:cs="Calibri"/>
        </w:rPr>
      </w:pPr>
    </w:p>
    <w:p w14:paraId="3ACBA078" w14:textId="7B628EC5" w:rsidR="00C15169" w:rsidRDefault="00C15169" w:rsidP="009B6503">
      <w:pPr>
        <w:pStyle w:val="BodyText"/>
        <w:ind w:right="-23"/>
        <w:jc w:val="both"/>
        <w:rPr>
          <w:rFonts w:cs="Calibri"/>
        </w:rPr>
      </w:pPr>
      <w:r>
        <w:rPr>
          <w:rFonts w:cs="Calibri"/>
        </w:rPr>
        <w:t>Economic growth accelerated substantially during the 1985-89 and 1990-94 periods, representing the strongest growth episode. This expansion was driven overwhelmingly by physical capital accumulation, particularly during the 1990-94 period when capital contributed more than seven percentage points to annual GDP growth. The surge in capital accumulation likely reflected significant investment in tourism infrastructure, utilities, transportation and expansion in both public and private capital formation. Labour contributions also strengthened steadily during this period, reflecting stronger employment absorption associated with tourism expansion, agricultural activity and service sector growth. Importantly, TFP became strongly positive during the late 1980s, indicating that growth was not solely driven by factor accumulation, but also driven by productive efficiency, structural modernization and improvement in economic organization.</w:t>
      </w:r>
      <w:r w:rsidR="00592464">
        <w:rPr>
          <w:rFonts w:cs="Calibri"/>
        </w:rPr>
        <w:t xml:space="preserve"> This combination of strong investment and positive productivity growth suggests that Belize experienced a temporary phase of relatively dynamic and broad-based economic expansion.</w:t>
      </w:r>
    </w:p>
    <w:p w14:paraId="066A4E76" w14:textId="77777777" w:rsidR="00C15169" w:rsidRDefault="00C15169" w:rsidP="009B6503">
      <w:pPr>
        <w:pStyle w:val="BodyText"/>
        <w:ind w:right="-23"/>
        <w:jc w:val="both"/>
        <w:rPr>
          <w:rFonts w:cs="Calibri"/>
        </w:rPr>
      </w:pPr>
    </w:p>
    <w:p w14:paraId="6820E162" w14:textId="60DEBB75" w:rsidR="00C15169" w:rsidRDefault="00592464" w:rsidP="009B6503">
      <w:pPr>
        <w:pStyle w:val="BodyText"/>
        <w:ind w:right="-23"/>
        <w:jc w:val="both"/>
        <w:rPr>
          <w:rFonts w:cs="Calibri"/>
        </w:rPr>
      </w:pPr>
      <w:r>
        <w:rPr>
          <w:rFonts w:cs="Calibri"/>
        </w:rPr>
        <w:t xml:space="preserve">Between 1995 and 2005, Belize’s growth structure became more balanced, although physical capital remained the dominant driver of economic growth. Labour contributions increased noticeably during both the 1995-99 and 2000-04 periods, likely reflecting continued expansion in tourism, construction, wholesale and retail trade, public administration and other services. Human capital also contributed positively throughout the period, although its overall contribution remained modest relative to physical capital and labour. </w:t>
      </w:r>
      <w:r w:rsidR="00940671">
        <w:rPr>
          <w:rFonts w:cs="Calibri"/>
        </w:rPr>
        <w:t>This suggests that while educational attainment and workforce quality may have improved gradually, human capital accumulation did not emerge as a major engine of long-run growth.</w:t>
      </w:r>
    </w:p>
    <w:p w14:paraId="5898C15B" w14:textId="77777777" w:rsidR="00940671" w:rsidRDefault="00940671" w:rsidP="009B6503">
      <w:pPr>
        <w:pStyle w:val="BodyText"/>
        <w:ind w:right="-23"/>
        <w:jc w:val="both"/>
        <w:rPr>
          <w:rFonts w:cs="Calibri"/>
        </w:rPr>
      </w:pPr>
    </w:p>
    <w:p w14:paraId="5B2EC383" w14:textId="5D0D7862" w:rsidR="00940671" w:rsidRDefault="00940671" w:rsidP="009B6503">
      <w:pPr>
        <w:pStyle w:val="BodyText"/>
        <w:ind w:right="-23"/>
        <w:jc w:val="both"/>
        <w:rPr>
          <w:rFonts w:cs="Calibri"/>
        </w:rPr>
      </w:pPr>
      <w:r>
        <w:rPr>
          <w:rFonts w:cs="Calibri"/>
        </w:rPr>
        <w:t xml:space="preserve">A particularly important feature of this period was the increasingly volatile of TFP. Productivity </w:t>
      </w:r>
      <w:r>
        <w:rPr>
          <w:rFonts w:cs="Calibri"/>
        </w:rPr>
        <w:lastRenderedPageBreak/>
        <w:t xml:space="preserve">growth turned negative during 1995-99 before recovering during 2000-04. This volatility suggests that Belize’s productivity performance became increasingly vulnerable to cyclical fluctuations, external shocks and structural bottlenecks. The temporary rebound in TFP during the early 2000s may reflect gains associated with tourism expansion, macroeconomic stabilization and enhancement in economic coordination. However, the unstable productivity performance during this period may also </w:t>
      </w:r>
      <w:r w:rsidR="000C0E51">
        <w:rPr>
          <w:rFonts w:cs="Calibri"/>
        </w:rPr>
        <w:t>have signaled the emergence of deeper structural constraints that became more pronounced in subsequent years.</w:t>
      </w:r>
    </w:p>
    <w:p w14:paraId="6A743947" w14:textId="77777777" w:rsidR="000C0E51" w:rsidRDefault="000C0E51" w:rsidP="009B6503">
      <w:pPr>
        <w:pStyle w:val="BodyText"/>
        <w:ind w:right="-23"/>
        <w:jc w:val="both"/>
        <w:rPr>
          <w:rFonts w:cs="Calibri"/>
        </w:rPr>
      </w:pPr>
    </w:p>
    <w:p w14:paraId="31E3E43A" w14:textId="4AC1B8F7" w:rsidR="000C0E51" w:rsidRDefault="000C0E51" w:rsidP="009B6503">
      <w:pPr>
        <w:pStyle w:val="BodyText"/>
        <w:ind w:right="-23"/>
        <w:jc w:val="both"/>
        <w:rPr>
          <w:rFonts w:cs="Calibri"/>
        </w:rPr>
      </w:pPr>
      <w:r w:rsidRPr="000C0E51">
        <w:rPr>
          <w:rFonts w:cs="Calibri"/>
        </w:rPr>
        <w:t>A major structural shift appears to have emerged after 2005. During the 2005–09 period, TFP became strongly negative and acted as a substantial drag on economic growth despite continued positive contributions from physical capital and labour. This suggests that although Belize continued to expand factor inputs, the efficiency with which these inputs were utilized deteriorated significantly. In other words, growth increasingly relied on extensive expansion through additional labour and capital rather than intensive growth driven by technological upgrading, innovation, and productivity improvements. The deterioration in TFP may reflect several structural constraints facing the economy, including infrastructure bottlenecks, weak technological diffusion, rising informality, declining export competitiveness, institutional inefficiencies, exposure to external shocks, and increasing concentration in relatively low-productivity service activities.</w:t>
      </w:r>
    </w:p>
    <w:p w14:paraId="7996D235" w14:textId="77777777" w:rsidR="000C0E51" w:rsidRDefault="000C0E51" w:rsidP="009B6503">
      <w:pPr>
        <w:pStyle w:val="BodyText"/>
        <w:ind w:right="-23"/>
        <w:jc w:val="both"/>
        <w:rPr>
          <w:rFonts w:cs="Calibri"/>
        </w:rPr>
      </w:pPr>
    </w:p>
    <w:p w14:paraId="4F4EA5A3" w14:textId="2BCC8E30" w:rsidR="000C0E51" w:rsidRDefault="000C0E51" w:rsidP="009B6503">
      <w:pPr>
        <w:pStyle w:val="BodyText"/>
        <w:ind w:right="-23"/>
        <w:jc w:val="both"/>
        <w:rPr>
          <w:rFonts w:cs="Calibri"/>
        </w:rPr>
      </w:pPr>
      <w:r w:rsidRPr="000C0E51">
        <w:rPr>
          <w:rFonts w:cs="Calibri"/>
        </w:rPr>
        <w:t>The weakening productivity trend became even more pronounced during the 2015–19 period, when TFP again exerted a large negative contribution to growth. This finding is particularly significant because physical capital and labour continued to contribute positively during the same period. The results therefore suggest declining efficiency in the use of productive inputs and weakening returns to investment. Such patterns are often associated with structural rigidities, weak innovation systems, low technological absorption, and declining allocative efficiency. The findings may also reflect the increasing dependence of Belize’s economy on tourism and domestic services sectors, which can support employment and aggregate demand but may generate weaker long-run productivity gains than manufacturing and higher-value tradable sectors.</w:t>
      </w:r>
    </w:p>
    <w:p w14:paraId="47B0A4FD" w14:textId="77777777" w:rsidR="000C0E51" w:rsidRDefault="000C0E51" w:rsidP="009B6503">
      <w:pPr>
        <w:pStyle w:val="BodyText"/>
        <w:ind w:right="-23"/>
        <w:jc w:val="both"/>
        <w:rPr>
          <w:rFonts w:cs="Calibri"/>
        </w:rPr>
      </w:pPr>
    </w:p>
    <w:p w14:paraId="2DA135B3" w14:textId="75E0758D" w:rsidR="000C0E51" w:rsidRDefault="000C0E51" w:rsidP="009B6503">
      <w:pPr>
        <w:pStyle w:val="BodyText"/>
        <w:ind w:right="-23"/>
        <w:jc w:val="both"/>
        <w:rPr>
          <w:rFonts w:cs="Calibri"/>
        </w:rPr>
      </w:pPr>
      <w:r w:rsidRPr="000C0E51">
        <w:rPr>
          <w:rFonts w:cs="Calibri"/>
        </w:rPr>
        <w:t>Human capital contributions remained consistently positive throughout the entire period but were persistently small relative to the contributions of physical capital and labour. This is an important structural finding because it suggests that Belize has not yet fully leveraged education, workforce upgrading, technological skills, and human capability development as major engines of economic transformation. The relatively weak contribution of human capital may also reflect persistent labour market challenges, including skills mismatches, educational quality concerns, outward migration of skilled workers, labour market informality, and gender disparities in labour force participation and earnings. In the absence of stronger human capital accumulation, sustaining long-run productivity growth becomes increasingly difficult, particularly within a small open economy operating in a rapidly changing global environment.</w:t>
      </w:r>
    </w:p>
    <w:p w14:paraId="5F4399B2" w14:textId="77777777" w:rsidR="000C0E51" w:rsidRDefault="000C0E51" w:rsidP="009B6503">
      <w:pPr>
        <w:pStyle w:val="BodyText"/>
        <w:ind w:right="-23"/>
        <w:jc w:val="both"/>
        <w:rPr>
          <w:rFonts w:cs="Calibri"/>
        </w:rPr>
      </w:pPr>
    </w:p>
    <w:p w14:paraId="2B1808DB" w14:textId="31BF26A4" w:rsidR="000C0E51" w:rsidRDefault="000C0E51" w:rsidP="009B6503">
      <w:pPr>
        <w:pStyle w:val="BodyText"/>
        <w:ind w:right="-23"/>
        <w:jc w:val="both"/>
        <w:rPr>
          <w:rFonts w:cs="Calibri"/>
        </w:rPr>
      </w:pPr>
      <w:r w:rsidRPr="000C0E51">
        <w:rPr>
          <w:rFonts w:cs="Calibri"/>
        </w:rPr>
        <w:t xml:space="preserve">The 2020–23 period reflects the extraordinary disruption associated with the COVID-19 pandemic and the subsequent recovery. Despite the severe contraction experienced during 2020, the period as a whole still recorded positive contributions from physical capital and labour, reflecting the rapid rebound in tourism activity, employment recovery, reopening effects, and renewed investment activity. TFP during this period appears broadly neutral, suggesting that the recovery was driven more by cyclical normalization and reopening effects than by deeper productivity-enhancing structural transformation. This distinction is important because it indicates that the post-pandemic rebound may not represent a fundamental shift in </w:t>
      </w:r>
      <w:r w:rsidRPr="000C0E51">
        <w:rPr>
          <w:rFonts w:cs="Calibri"/>
        </w:rPr>
        <w:lastRenderedPageBreak/>
        <w:t>Belize’s underlying growth model.</w:t>
      </w:r>
    </w:p>
    <w:p w14:paraId="294BF679" w14:textId="77777777" w:rsidR="000C0E51" w:rsidRDefault="000C0E51" w:rsidP="009B6503">
      <w:pPr>
        <w:pStyle w:val="BodyText"/>
        <w:ind w:right="-23"/>
        <w:jc w:val="both"/>
        <w:rPr>
          <w:rFonts w:cs="Calibri"/>
        </w:rPr>
      </w:pPr>
    </w:p>
    <w:p w14:paraId="29307966" w14:textId="1A93A396" w:rsidR="000C0E51" w:rsidRDefault="000C0E51" w:rsidP="009B6503">
      <w:pPr>
        <w:pStyle w:val="BodyText"/>
        <w:ind w:right="-23"/>
        <w:jc w:val="both"/>
        <w:rPr>
          <w:rFonts w:cs="Calibri"/>
        </w:rPr>
      </w:pPr>
      <w:r w:rsidRPr="000C0E51">
        <w:rPr>
          <w:rFonts w:cs="Calibri"/>
        </w:rPr>
        <w:t>Overall, the decomposition highlights several important characteristics of Belize’s development trajectory. First, long-run growth has been heavily dependent on capital accumulation and labour expansion rather than sustained productivity growth. Second, productivity performance has become increasingly volatile and negative over time, suggesting weakening efficiency in the use of productive inputs. Third, human capital accumulation has remained insufficiently strong to emerge as a major source of structural transformation and productivity enhancement. Finally, the findings suggest that Belize may be experiencing the limitations of a services-led growth model that has generated investment and employment growth but has not consistently produced broad-based productivity gains.</w:t>
      </w:r>
    </w:p>
    <w:p w14:paraId="0DDAD05E" w14:textId="77777777" w:rsidR="000C0E51" w:rsidRDefault="000C0E51" w:rsidP="009B6503">
      <w:pPr>
        <w:pStyle w:val="BodyText"/>
        <w:ind w:right="-23"/>
        <w:jc w:val="both"/>
        <w:rPr>
          <w:rFonts w:cs="Calibri"/>
        </w:rPr>
      </w:pPr>
    </w:p>
    <w:p w14:paraId="11A9342D" w14:textId="1399AC5A" w:rsidR="000C0E51" w:rsidRDefault="000C0E51" w:rsidP="009B6503">
      <w:pPr>
        <w:pStyle w:val="BodyText"/>
        <w:ind w:right="-23"/>
        <w:jc w:val="both"/>
        <w:rPr>
          <w:rFonts w:cs="Calibri"/>
        </w:rPr>
      </w:pPr>
      <w:r w:rsidRPr="000C0E51">
        <w:rPr>
          <w:rFonts w:cs="Calibri"/>
        </w:rPr>
        <w:t>The results underscore the importance of policies aimed at enhancing productivity-enhancing structural transformation. In particular, improving infrastructure quality, strengthening institutional efficiency, expanding digitalization, promoting technological adoption, deepening workforce skills, improving educational outcomes, and encouraging diversification into higher-productivity tradable sectors will be critical to sustaining long-run growth. Expanding participation in modern services activities such as business process outsourcing, digital services, logistics, and knowledge-intensive sectors could also help Belize transition toward a more resilient and productivity-driven growth trajectory.</w:t>
      </w:r>
    </w:p>
    <w:p w14:paraId="6126CE48" w14:textId="77777777" w:rsidR="00E340E5" w:rsidRDefault="00E340E5" w:rsidP="009B6503">
      <w:pPr>
        <w:pStyle w:val="BodyText"/>
        <w:ind w:right="-23"/>
        <w:jc w:val="both"/>
        <w:rPr>
          <w:rFonts w:cs="Calibri"/>
        </w:rPr>
      </w:pPr>
    </w:p>
    <w:p w14:paraId="4FAA8C81" w14:textId="46490099" w:rsidR="00E340E5" w:rsidRDefault="00E340E5" w:rsidP="009B6503">
      <w:pPr>
        <w:pStyle w:val="BodyText"/>
        <w:ind w:right="-23"/>
        <w:jc w:val="both"/>
        <w:rPr>
          <w:rFonts w:cs="Calibri"/>
        </w:rPr>
      </w:pPr>
      <w:r>
        <w:rPr>
          <w:rFonts w:cs="Calibri"/>
        </w:rPr>
        <w:t>Belize’s long-run economic performance reveals a close relationship between labour productivity and total factor productivity growth, suggesting that improvements in worker output have depended on gains in economic efficiency. Throughout much of the period, the two series moved closely together, indicating that fluctuations in labour productivity were not driven solely by increases in employment or capital accumulation, but also by changes with which labour and capital were utilized across the economy</w:t>
      </w:r>
      <w:r w:rsidR="00360AB0">
        <w:rPr>
          <w:rFonts w:cs="Calibri"/>
        </w:rPr>
        <w:t xml:space="preserve"> (Figure 4)</w:t>
      </w:r>
      <w:r>
        <w:rPr>
          <w:rFonts w:cs="Calibri"/>
        </w:rPr>
        <w:t>.</w:t>
      </w:r>
    </w:p>
    <w:p w14:paraId="24086CD1" w14:textId="77777777" w:rsidR="00360AB0" w:rsidRDefault="00360AB0" w:rsidP="009B6503">
      <w:pPr>
        <w:pStyle w:val="BodyText"/>
        <w:ind w:right="-23"/>
        <w:jc w:val="both"/>
        <w:rPr>
          <w:rFonts w:cs="Calibri"/>
        </w:rPr>
      </w:pPr>
    </w:p>
    <w:p w14:paraId="7AB81BCF" w14:textId="1BD6DB19" w:rsidR="00360AB0" w:rsidRDefault="00360AB0" w:rsidP="009B6503">
      <w:pPr>
        <w:pStyle w:val="BodyText"/>
        <w:ind w:right="-23"/>
        <w:jc w:val="both"/>
        <w:rPr>
          <w:rFonts w:cs="Calibri"/>
        </w:rPr>
      </w:pPr>
      <w:r w:rsidRPr="00360AB0">
        <w:rPr>
          <w:rFonts w:cs="Calibri"/>
        </w:rPr>
        <w:t>During the late 1980s and early 1990s, Belize experienced one of its strongest periods of productivity expansion. Labour productivity growth exceeded 10 percent at its peak, while TFP also rose significantly. This period likely reflected rapid tourism expansion, infrastructure investment, agricultural modernization, and increasing integration into regional and international markets. The stronger rise in labour productivity relative to TFP suggests that capital deepening — increased investment per worker — played a particularly important role in supporting economic growth during this phase of structural expansion.</w:t>
      </w:r>
    </w:p>
    <w:p w14:paraId="70A30382" w14:textId="77777777" w:rsidR="00360AB0" w:rsidRDefault="00360AB0" w:rsidP="009B6503">
      <w:pPr>
        <w:pStyle w:val="BodyText"/>
        <w:ind w:right="-23"/>
        <w:jc w:val="both"/>
        <w:rPr>
          <w:rFonts w:cs="Calibri"/>
        </w:rPr>
      </w:pPr>
    </w:p>
    <w:p w14:paraId="01BFE045" w14:textId="45A2841C" w:rsidR="00360AB0" w:rsidRDefault="00360AB0" w:rsidP="009B6503">
      <w:pPr>
        <w:pStyle w:val="BodyText"/>
        <w:ind w:right="-23"/>
        <w:jc w:val="both"/>
        <w:rPr>
          <w:rFonts w:cs="Calibri"/>
        </w:rPr>
      </w:pPr>
      <w:r w:rsidRPr="00360AB0">
        <w:rPr>
          <w:rFonts w:cs="Calibri"/>
        </w:rPr>
        <w:t>However, these gains proved difficult to sustain. From the mid-1990s onward, both labour productivity and TFP became increasingly volatile and generally trended downward, with TFP frequently turning negative. This suggests that Belize gradually shifted toward a more extensive growth model driven primarily by increases in labour and capital inputs rather than sustained improvements in efficiency, innovation, or technological progress. The persistent weakness in TFP may reflect structural constraints such as limited technological diffusion, infrastructure bottlenecks, institutional inefficiencies, rising dependence on relatively low-productivity service activities, and the country’s vulnerability to external economic and climate-related shocks.</w:t>
      </w:r>
    </w:p>
    <w:p w14:paraId="5865795D" w14:textId="77777777" w:rsidR="00B81589" w:rsidRDefault="00B81589" w:rsidP="009B6503">
      <w:pPr>
        <w:pStyle w:val="BodyText"/>
        <w:ind w:right="-23"/>
        <w:jc w:val="both"/>
        <w:rPr>
          <w:rFonts w:cs="Calibri"/>
        </w:rPr>
      </w:pPr>
    </w:p>
    <w:p w14:paraId="7F9C893D" w14:textId="35D9B3D4" w:rsidR="00B81589" w:rsidRDefault="00360AB0" w:rsidP="009B6503">
      <w:pPr>
        <w:pStyle w:val="BodyText"/>
        <w:ind w:right="-23"/>
        <w:jc w:val="both"/>
        <w:rPr>
          <w:rFonts w:cs="Calibri"/>
        </w:rPr>
      </w:pPr>
      <w:r w:rsidRPr="00360AB0">
        <w:rPr>
          <w:rFonts w:cs="Calibri"/>
        </w:rPr>
        <w:t xml:space="preserve">The COVID-19 pandemic generated the sharpest productivity shock in the series, with both labour productivity and TFP collapsing in 2020 before rebounding sharply in 2021 as tourism and economic activity reopened. Nevertheless, the rebound appears largely cyclical rather than structural in nature. Overall, the evidence suggests that Belize has struggled to generate </w:t>
      </w:r>
      <w:r w:rsidRPr="00360AB0">
        <w:rPr>
          <w:rFonts w:cs="Calibri"/>
        </w:rPr>
        <w:lastRenderedPageBreak/>
        <w:t>sustained productivity-driven growth over the long run. The findings underscore the importance of policies aimed at strengthening productivity through technological adoption, digitalization, workforce upskilling, infrastructure modernization, institutional reform, and diversification into higher-productivity sectors such as business process outsourcing, logistics, and digital services.</w:t>
      </w:r>
    </w:p>
    <w:p w14:paraId="334CB9B2" w14:textId="77777777" w:rsidR="00360AB0" w:rsidRDefault="00360AB0" w:rsidP="00B81589">
      <w:pPr>
        <w:pStyle w:val="Caption"/>
        <w:keepNext/>
        <w:spacing w:after="0"/>
        <w:jc w:val="center"/>
        <w:rPr>
          <w:b/>
          <w:bCs/>
          <w:i w:val="0"/>
          <w:iCs w:val="0"/>
          <w:sz w:val="22"/>
          <w:szCs w:val="22"/>
        </w:rPr>
      </w:pPr>
    </w:p>
    <w:p w14:paraId="5E2D3FDB" w14:textId="1E1C0085" w:rsidR="00B81589" w:rsidRDefault="00B81589" w:rsidP="00360AB0">
      <w:pPr>
        <w:pStyle w:val="Caption"/>
        <w:keepNext/>
        <w:spacing w:after="0"/>
        <w:jc w:val="center"/>
        <w:rPr>
          <w:b/>
          <w:bCs/>
          <w:i w:val="0"/>
          <w:iCs w:val="0"/>
          <w:sz w:val="22"/>
          <w:szCs w:val="22"/>
        </w:rPr>
      </w:pPr>
      <w:r w:rsidRPr="00B81589">
        <w:rPr>
          <w:b/>
          <w:bCs/>
          <w:i w:val="0"/>
          <w:iCs w:val="0"/>
          <w:sz w:val="22"/>
          <w:szCs w:val="22"/>
        </w:rPr>
        <w:t xml:space="preserve">Figure </w:t>
      </w:r>
      <w:r w:rsidRPr="00B81589">
        <w:rPr>
          <w:b/>
          <w:bCs/>
          <w:i w:val="0"/>
          <w:iCs w:val="0"/>
          <w:sz w:val="22"/>
          <w:szCs w:val="22"/>
        </w:rPr>
        <w:fldChar w:fldCharType="begin"/>
      </w:r>
      <w:r w:rsidRPr="00B81589">
        <w:rPr>
          <w:b/>
          <w:bCs/>
          <w:i w:val="0"/>
          <w:iCs w:val="0"/>
          <w:sz w:val="22"/>
          <w:szCs w:val="22"/>
        </w:rPr>
        <w:instrText xml:space="preserve"> SEQ Figure \* ARABIC </w:instrText>
      </w:r>
      <w:r w:rsidRPr="00B81589">
        <w:rPr>
          <w:b/>
          <w:bCs/>
          <w:i w:val="0"/>
          <w:iCs w:val="0"/>
          <w:sz w:val="22"/>
          <w:szCs w:val="22"/>
        </w:rPr>
        <w:fldChar w:fldCharType="separate"/>
      </w:r>
      <w:r w:rsidRPr="00B81589">
        <w:rPr>
          <w:b/>
          <w:bCs/>
          <w:i w:val="0"/>
          <w:iCs w:val="0"/>
          <w:noProof/>
          <w:sz w:val="22"/>
          <w:szCs w:val="22"/>
        </w:rPr>
        <w:t>4</w:t>
      </w:r>
      <w:r w:rsidRPr="00B81589">
        <w:rPr>
          <w:b/>
          <w:bCs/>
          <w:i w:val="0"/>
          <w:iCs w:val="0"/>
          <w:sz w:val="22"/>
          <w:szCs w:val="22"/>
        </w:rPr>
        <w:fldChar w:fldCharType="end"/>
      </w:r>
      <w:r>
        <w:rPr>
          <w:b/>
          <w:bCs/>
          <w:i w:val="0"/>
          <w:iCs w:val="0"/>
          <w:sz w:val="22"/>
          <w:szCs w:val="22"/>
        </w:rPr>
        <w:t xml:space="preserve">: </w:t>
      </w:r>
    </w:p>
    <w:p w14:paraId="7912BC2C" w14:textId="215F402A" w:rsidR="00B81589" w:rsidRPr="00B81589" w:rsidRDefault="00B81589" w:rsidP="00360AB0">
      <w:pPr>
        <w:pStyle w:val="Caption"/>
        <w:keepNext/>
        <w:spacing w:after="0"/>
        <w:jc w:val="center"/>
        <w:rPr>
          <w:b/>
          <w:bCs/>
          <w:i w:val="0"/>
          <w:iCs w:val="0"/>
          <w:sz w:val="22"/>
          <w:szCs w:val="22"/>
        </w:rPr>
      </w:pPr>
      <w:r>
        <w:rPr>
          <w:b/>
          <w:bCs/>
          <w:i w:val="0"/>
          <w:iCs w:val="0"/>
          <w:sz w:val="22"/>
          <w:szCs w:val="22"/>
        </w:rPr>
        <w:t>Belize Labour Productivity and Total Factor Productivity Growth</w:t>
      </w:r>
    </w:p>
    <w:p w14:paraId="055D40AB" w14:textId="177B16D7" w:rsidR="00B81589" w:rsidRDefault="00B81589" w:rsidP="009B6503">
      <w:pPr>
        <w:pStyle w:val="BodyText"/>
        <w:ind w:right="-23"/>
        <w:jc w:val="both"/>
        <w:rPr>
          <w:rFonts w:cs="Calibri"/>
        </w:rPr>
      </w:pPr>
      <w:r w:rsidRPr="00B81589">
        <w:rPr>
          <w:rFonts w:cs="Calibri"/>
        </w:rPr>
        <w:drawing>
          <wp:inline distT="0" distB="0" distL="0" distR="0" wp14:anchorId="6827EDC6" wp14:editId="087D42B6">
            <wp:extent cx="5943600" cy="4211955"/>
            <wp:effectExtent l="0" t="0" r="0" b="0"/>
            <wp:docPr id="29928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89789" name=""/>
                    <pic:cNvPicPr/>
                  </pic:nvPicPr>
                  <pic:blipFill>
                    <a:blip r:embed="rId15"/>
                    <a:stretch>
                      <a:fillRect/>
                    </a:stretch>
                  </pic:blipFill>
                  <pic:spPr>
                    <a:xfrm>
                      <a:off x="0" y="0"/>
                      <a:ext cx="5943600" cy="4211955"/>
                    </a:xfrm>
                    <a:prstGeom prst="rect">
                      <a:avLst/>
                    </a:prstGeom>
                  </pic:spPr>
                </pic:pic>
              </a:graphicData>
            </a:graphic>
          </wp:inline>
        </w:drawing>
      </w:r>
    </w:p>
    <w:p w14:paraId="160FBD8E" w14:textId="77777777" w:rsidR="000C0E51" w:rsidRDefault="000C0E51" w:rsidP="009B6503">
      <w:pPr>
        <w:pStyle w:val="BodyText"/>
        <w:ind w:right="-23"/>
        <w:jc w:val="both"/>
        <w:rPr>
          <w:rFonts w:cs="Calibri"/>
        </w:rPr>
      </w:pPr>
    </w:p>
    <w:p w14:paraId="5D6A87E5" w14:textId="75AD429B" w:rsidR="00C15169" w:rsidRPr="00940671" w:rsidRDefault="00940671" w:rsidP="00940671">
      <w:pPr>
        <w:pStyle w:val="Heading2"/>
        <w:rPr>
          <w:rFonts w:ascii="Trebuchet MS" w:hAnsi="Trebuchet MS"/>
          <w:b/>
          <w:bCs/>
          <w:sz w:val="24"/>
          <w:szCs w:val="24"/>
        </w:rPr>
      </w:pPr>
      <w:r w:rsidRPr="00940671">
        <w:rPr>
          <w:rFonts w:ascii="Trebuchet MS" w:hAnsi="Trebuchet MS"/>
          <w:b/>
          <w:bCs/>
          <w:sz w:val="24"/>
          <w:szCs w:val="24"/>
        </w:rPr>
        <w:t>Convergence Analysis</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2"/>
      <w:commentRangeStart w:id="13"/>
      <w:r w:rsidRPr="00A35137">
        <w:rPr>
          <w:rFonts w:cs="Calibri"/>
        </w:rPr>
        <w:t xml:space="preserve">Comparator economies such as Costa Rica, the Dominican Republic, and Mauritius provide </w:t>
      </w:r>
      <w:commentRangeEnd w:id="13"/>
      <w:r w:rsidR="004524A5" w:rsidRPr="00A35137">
        <w:rPr>
          <w:rStyle w:val="CommentReference"/>
          <w:rFonts w:cs="Calibri"/>
          <w:sz w:val="22"/>
          <w:szCs w:val="22"/>
        </w:rPr>
        <w:commentReference w:id="13"/>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2"/>
      <w:r w:rsidR="004524A5" w:rsidRPr="00A35137">
        <w:rPr>
          <w:rStyle w:val="CommentReference"/>
          <w:rFonts w:cs="Calibri"/>
          <w:sz w:val="22"/>
          <w:szCs w:val="22"/>
        </w:rPr>
        <w:commentReference w:id="12"/>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w:t>
      </w:r>
      <w:r w:rsidRPr="00A35137">
        <w:rPr>
          <w:rFonts w:cs="Calibri"/>
        </w:rPr>
        <w:lastRenderedPageBreak/>
        <w:t xml:space="preserve">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498AEA8E" w:rsidR="009B6503" w:rsidRPr="00A35137" w:rsidRDefault="009B6503" w:rsidP="009B6503">
      <w:pPr>
        <w:pStyle w:val="Caption"/>
        <w:keepNext/>
        <w:spacing w:after="0"/>
        <w:jc w:val="center"/>
        <w:rPr>
          <w:rFonts w:cs="Calibri"/>
          <w:b/>
          <w:bCs/>
          <w:i w:val="0"/>
          <w:iCs w:val="0"/>
          <w:sz w:val="22"/>
          <w:szCs w:val="22"/>
        </w:rPr>
      </w:pPr>
      <w:commentRangeStart w:id="14"/>
      <w:r w:rsidRPr="00A35137">
        <w:rPr>
          <w:rFonts w:cs="Calibri"/>
          <w:b/>
          <w:bCs/>
          <w:i w:val="0"/>
          <w:iCs w:val="0"/>
          <w:sz w:val="22"/>
          <w:szCs w:val="22"/>
        </w:rPr>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B81589">
        <w:rPr>
          <w:rFonts w:cs="Calibri"/>
          <w:b/>
          <w:bCs/>
          <w:i w:val="0"/>
          <w:iCs w:val="0"/>
          <w:noProof/>
          <w:sz w:val="22"/>
          <w:szCs w:val="22"/>
        </w:rPr>
        <w:t>5</w:t>
      </w:r>
      <w:r w:rsidR="00850EEF" w:rsidRPr="00A35137">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4"/>
      <w:r w:rsidR="004524A5" w:rsidRPr="00A35137">
        <w:rPr>
          <w:rStyle w:val="CommentReference"/>
          <w:rFonts w:cs="Calibri"/>
          <w:b/>
          <w:bCs/>
          <w:i w:val="0"/>
          <w:iCs w:val="0"/>
          <w:sz w:val="22"/>
          <w:szCs w:val="22"/>
        </w:rPr>
        <w:commentReference w:id="14"/>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6">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Pr="00A35137" w:rsidRDefault="009B6503" w:rsidP="00897C27">
      <w:pPr>
        <w:pStyle w:val="BodyText"/>
        <w:ind w:right="4"/>
        <w:jc w:val="both"/>
        <w:rPr>
          <w:rFonts w:cs="Calibri"/>
        </w:rPr>
      </w:pPr>
    </w:p>
    <w:p w14:paraId="679EBE59" w14:textId="77777777" w:rsidR="00025B15" w:rsidRDefault="00025B15" w:rsidP="00897C27">
      <w:pPr>
        <w:pStyle w:val="BodyText"/>
        <w:ind w:right="4"/>
        <w:jc w:val="both"/>
        <w:rPr>
          <w:rFonts w:cs="Calibri"/>
          <w:b/>
          <w:bCs/>
          <w:sz w:val="24"/>
          <w:szCs w:val="24"/>
        </w:rPr>
      </w:pPr>
    </w:p>
    <w:p w14:paraId="685A4107" w14:textId="0881E317" w:rsidR="00025B15" w:rsidRDefault="00BC51AF" w:rsidP="00897C27">
      <w:pPr>
        <w:pStyle w:val="BodyText"/>
        <w:ind w:right="4"/>
        <w:jc w:val="both"/>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lastRenderedPageBreak/>
        <w:t>Demographic</w:t>
      </w:r>
      <w:r w:rsidR="00526537" w:rsidRPr="00BC51AF">
        <w:rPr>
          <w:rFonts w:ascii="Trebuchet MS" w:hAnsi="Trebuchet MS"/>
          <w:b/>
          <w:bCs/>
          <w:sz w:val="28"/>
          <w:szCs w:val="28"/>
        </w:rPr>
        <w:t xml:space="preserve"> </w:t>
      </w:r>
      <w:commentRangeStart w:id="15"/>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5"/>
      <w:r w:rsidR="004524A5" w:rsidRPr="00BC51AF">
        <w:rPr>
          <w:rStyle w:val="CommentReference"/>
          <w:rFonts w:ascii="Trebuchet MS" w:hAnsi="Trebuchet MS"/>
          <w:b/>
          <w:bCs/>
          <w:sz w:val="28"/>
          <w:szCs w:val="28"/>
        </w:rPr>
        <w:commentReference w:id="15"/>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6"/>
      <w:r w:rsidRPr="00A35137">
        <w:rPr>
          <w:rFonts w:cs="Calibri"/>
        </w:rPr>
        <w:t xml:space="preserve">Belize’s estimated mid-year population in 2026 stood at </w:t>
      </w:r>
      <w:commentRangeStart w:id="17"/>
      <w:r w:rsidRPr="00A35137">
        <w:rPr>
          <w:rFonts w:cs="Calibri"/>
        </w:rPr>
        <w:t>426,368</w:t>
      </w:r>
      <w:r w:rsidR="005222DA" w:rsidRPr="00A35137">
        <w:rPr>
          <w:rFonts w:cs="Calibri"/>
        </w:rPr>
        <w:t>, comprising 210,525 males and 217,869 females,</w:t>
      </w:r>
      <w:commentRangeEnd w:id="17"/>
      <w:r w:rsidR="004524A5" w:rsidRPr="00A35137">
        <w:rPr>
          <w:rStyle w:val="CommentReference"/>
          <w:rFonts w:cs="Calibri"/>
          <w:sz w:val="22"/>
          <w:szCs w:val="22"/>
        </w:rPr>
        <w:commentReference w:id="17"/>
      </w:r>
      <w:r w:rsidR="005222DA" w:rsidRPr="00A35137">
        <w:rPr>
          <w:rFonts w:cs="Calibri"/>
        </w:rPr>
        <w:t xml:space="preserve"> implying a gender ratio of approximately 96.6 males per 100 females</w:t>
      </w:r>
      <w:r w:rsidRPr="00A35137">
        <w:rPr>
          <w:rFonts w:cs="Calibri"/>
        </w:rPr>
        <w:t xml:space="preserve">. </w:t>
      </w:r>
      <w:commentRangeEnd w:id="16"/>
      <w:r w:rsidR="004524A5" w:rsidRPr="00A35137">
        <w:rPr>
          <w:rStyle w:val="CommentReference"/>
          <w:rFonts w:cs="Calibri"/>
          <w:sz w:val="22"/>
          <w:szCs w:val="22"/>
        </w:rPr>
        <w:commentReference w:id="16"/>
      </w:r>
      <w:r w:rsidRPr="00A35137">
        <w:rPr>
          <w:rFonts w:cs="Calibri"/>
        </w:rPr>
        <w:t xml:space="preserve">Between 2015 and 2026, </w:t>
      </w:r>
      <w:commentRangeStart w:id="18"/>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8"/>
      <w:r w:rsidR="004524A5">
        <w:rPr>
          <w:rStyle w:val="CommentReference"/>
          <w:rFonts w:cs="Calibri"/>
          <w:sz w:val="22"/>
          <w:szCs w:val="22"/>
        </w:rPr>
        <w:commentReference w:id="18"/>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19"/>
      <w:r w:rsidRPr="00C42727">
        <w:rPr>
          <w:rFonts w:cs="Calibri"/>
        </w:rPr>
        <w:t>states</w:t>
      </w:r>
      <w:commentRangeEnd w:id="19"/>
      <w:r w:rsidR="004524A5" w:rsidRPr="00E37CBB">
        <w:rPr>
          <w:rStyle w:val="CommentReference"/>
          <w:rFonts w:cs="Calibri"/>
          <w:sz w:val="22"/>
          <w:szCs w:val="22"/>
        </w:rPr>
        <w:commentReference w:id="19"/>
      </w:r>
      <w:r w:rsidRPr="00E37CBB">
        <w:rPr>
          <w:rFonts w:cs="Calibri"/>
        </w:rPr>
        <w:t>, Belize</w:t>
      </w:r>
      <w:r>
        <w:rPr>
          <w:rFonts w:cs="Calibri"/>
        </w:rPr>
        <w:t xml:space="preserve"> is becoming increasingly ruralized. </w:t>
      </w:r>
      <w:commentRangeStart w:id="20"/>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emerging as key labour supply centers</w:t>
      </w:r>
      <w:commentRangeEnd w:id="20"/>
      <w:r w:rsidR="004524A5">
        <w:rPr>
          <w:rStyle w:val="CommentReference"/>
          <w:rFonts w:cs="Calibri"/>
          <w:sz w:val="22"/>
          <w:szCs w:val="22"/>
        </w:rPr>
        <w:commentReference w:id="20"/>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1"/>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1"/>
      <w:r w:rsidR="004524A5">
        <w:rPr>
          <w:rStyle w:val="CommentReference"/>
          <w:rFonts w:cs="Calibri"/>
          <w:sz w:val="22"/>
          <w:szCs w:val="22"/>
        </w:rPr>
        <w:commentReference w:id="21"/>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2"/>
      <w:r w:rsidRPr="00FB368B">
        <w:rPr>
          <w:rFonts w:cs="Calibri"/>
        </w:rPr>
        <w:t>sustained population growth raises demand for housing, education, healthcare, transportation, and other public infrastructure</w:t>
      </w:r>
      <w:commentRangeEnd w:id="22"/>
      <w:r w:rsidR="004524A5">
        <w:rPr>
          <w:rStyle w:val="CommentReference"/>
          <w:rFonts w:cs="Calibri"/>
          <w:sz w:val="22"/>
          <w:szCs w:val="22"/>
        </w:rPr>
        <w:commentReference w:id="22"/>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3"/>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3"/>
      <w:r w:rsidR="004524A5" w:rsidRPr="00A35137">
        <w:rPr>
          <w:rStyle w:val="CommentReference"/>
          <w:rFonts w:cs="Calibri"/>
          <w:sz w:val="22"/>
          <w:szCs w:val="22"/>
        </w:rPr>
        <w:commentReference w:id="23"/>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71551EB4" w:rsidR="00850EEF" w:rsidRPr="00A35137" w:rsidRDefault="00850EEF" w:rsidP="00407FF5">
      <w:pPr>
        <w:pStyle w:val="Caption"/>
        <w:keepNext/>
        <w:spacing w:after="0"/>
        <w:jc w:val="center"/>
        <w:rPr>
          <w:rFonts w:cs="Calibri"/>
          <w:b/>
          <w:bCs/>
          <w:i w:val="0"/>
          <w:iCs w:val="0"/>
          <w:sz w:val="22"/>
          <w:szCs w:val="22"/>
        </w:rPr>
      </w:pPr>
      <w:commentRangeStart w:id="24"/>
      <w:r w:rsidRPr="00A35137">
        <w:rPr>
          <w:rFonts w:cs="Calibri"/>
          <w:b/>
          <w:bCs/>
          <w:i w:val="0"/>
          <w:iCs w:val="0"/>
          <w:sz w:val="22"/>
          <w:szCs w:val="22"/>
        </w:rPr>
        <w:lastRenderedPageBreak/>
        <w:t xml:space="preserve">Figure </w:t>
      </w:r>
      <w:r w:rsidRPr="00A35137">
        <w:rPr>
          <w:rFonts w:cs="Calibri"/>
          <w:b/>
          <w:bCs/>
          <w:i w:val="0"/>
          <w:iCs w:val="0"/>
          <w:sz w:val="22"/>
          <w:szCs w:val="22"/>
        </w:rPr>
        <w:fldChar w:fldCharType="begin"/>
      </w:r>
      <w:r w:rsidRPr="00A35137">
        <w:rPr>
          <w:rFonts w:cs="Calibri"/>
          <w:b/>
          <w:bCs/>
          <w:i w:val="0"/>
          <w:iCs w:val="0"/>
          <w:sz w:val="22"/>
          <w:szCs w:val="22"/>
        </w:rPr>
        <w:instrText xml:space="preserve"> SEQ Figure \* ARABIC </w:instrText>
      </w:r>
      <w:r w:rsidRPr="00A35137">
        <w:rPr>
          <w:rFonts w:cs="Calibri"/>
          <w:b/>
          <w:bCs/>
          <w:i w:val="0"/>
          <w:iCs w:val="0"/>
          <w:sz w:val="22"/>
          <w:szCs w:val="22"/>
        </w:rPr>
        <w:fldChar w:fldCharType="separate"/>
      </w:r>
      <w:r w:rsidR="00B81589">
        <w:rPr>
          <w:rFonts w:cs="Calibri"/>
          <w:b/>
          <w:bCs/>
          <w:i w:val="0"/>
          <w:iCs w:val="0"/>
          <w:noProof/>
          <w:sz w:val="22"/>
          <w:szCs w:val="22"/>
        </w:rPr>
        <w:t>6</w:t>
      </w:r>
      <w:r w:rsidRPr="00A35137">
        <w:rPr>
          <w:rFonts w:cs="Calibri"/>
          <w:b/>
          <w:bCs/>
          <w:i w:val="0"/>
          <w:iCs w:val="0"/>
          <w:sz w:val="22"/>
          <w:szCs w:val="22"/>
        </w:rPr>
        <w:fldChar w:fldCharType="end"/>
      </w:r>
      <w:r w:rsidRPr="00A35137">
        <w:rPr>
          <w:rFonts w:cs="Calibri"/>
          <w:b/>
          <w:bCs/>
          <w:i w:val="0"/>
          <w:iCs w:val="0"/>
          <w:sz w:val="22"/>
          <w:szCs w:val="22"/>
        </w:rPr>
        <w:t xml:space="preserve">: </w:t>
      </w:r>
      <w:commentRangeEnd w:id="24"/>
      <w:r w:rsidR="004524A5" w:rsidRPr="00A35137">
        <w:rPr>
          <w:rStyle w:val="CommentReference"/>
          <w:rFonts w:cs="Calibri"/>
          <w:b/>
          <w:bCs/>
          <w:i w:val="0"/>
          <w:iCs w:val="0"/>
          <w:sz w:val="22"/>
          <w:szCs w:val="22"/>
        </w:rPr>
        <w:commentReference w:id="24"/>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7"/>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5"/>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5"/>
      <w:r w:rsidR="004524A5" w:rsidRPr="00A35137">
        <w:rPr>
          <w:rStyle w:val="CommentReference"/>
          <w:rFonts w:cs="Calibri"/>
          <w:sz w:val="22"/>
          <w:szCs w:val="22"/>
        </w:rPr>
        <w:commentReference w:id="25"/>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6987C66A" w:rsidR="00C42727" w:rsidRDefault="00C42727" w:rsidP="00C42727">
      <w:pPr>
        <w:pStyle w:val="Caption"/>
        <w:keepNext/>
        <w:spacing w:after="0"/>
        <w:jc w:val="center"/>
        <w:rPr>
          <w:b/>
          <w:bCs/>
          <w:i w:val="0"/>
          <w:iCs w:val="0"/>
          <w:sz w:val="22"/>
          <w:szCs w:val="22"/>
        </w:rPr>
      </w:pPr>
      <w:commentRangeStart w:id="26"/>
      <w:r w:rsidRPr="00C42727">
        <w:rPr>
          <w:b/>
          <w:bCs/>
          <w:i w:val="0"/>
          <w:iCs w:val="0"/>
          <w:sz w:val="22"/>
          <w:szCs w:val="22"/>
        </w:rPr>
        <w:lastRenderedPageBreak/>
        <w:t xml:space="preserve">Figure </w:t>
      </w:r>
      <w:r w:rsidRPr="00C42727">
        <w:rPr>
          <w:b/>
          <w:bCs/>
          <w:i w:val="0"/>
          <w:iCs w:val="0"/>
          <w:sz w:val="22"/>
          <w:szCs w:val="22"/>
        </w:rPr>
        <w:fldChar w:fldCharType="begin"/>
      </w:r>
      <w:r w:rsidRPr="00C42727">
        <w:rPr>
          <w:b/>
          <w:bCs/>
          <w:i w:val="0"/>
          <w:iCs w:val="0"/>
          <w:sz w:val="22"/>
          <w:szCs w:val="22"/>
        </w:rPr>
        <w:instrText xml:space="preserve"> SEQ Figure \* ARABIC </w:instrText>
      </w:r>
      <w:r w:rsidRPr="00C42727">
        <w:rPr>
          <w:b/>
          <w:bCs/>
          <w:i w:val="0"/>
          <w:iCs w:val="0"/>
          <w:sz w:val="22"/>
          <w:szCs w:val="22"/>
        </w:rPr>
        <w:fldChar w:fldCharType="separate"/>
      </w:r>
      <w:r w:rsidR="00B81589">
        <w:rPr>
          <w:b/>
          <w:bCs/>
          <w:i w:val="0"/>
          <w:iCs w:val="0"/>
          <w:noProof/>
          <w:sz w:val="22"/>
          <w:szCs w:val="22"/>
        </w:rPr>
        <w:t>7</w:t>
      </w:r>
      <w:r w:rsidRPr="00C42727">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6"/>
      <w:r w:rsidR="004524A5" w:rsidRPr="00C42727">
        <w:rPr>
          <w:rStyle w:val="CommentReference"/>
          <w:b/>
          <w:bCs/>
          <w:i w:val="0"/>
          <w:iCs w:val="0"/>
          <w:sz w:val="22"/>
          <w:szCs w:val="22"/>
        </w:rPr>
        <w:commentReference w:id="26"/>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8"/>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7"/>
      <w:r w:rsidR="00012CD9">
        <w:rPr>
          <w:rFonts w:cs="Calibri"/>
        </w:rPr>
        <w:t>as evidenced by the sharp decline during the COVID-19 pandemic and the subsequent rebound in 2022</w:t>
      </w:r>
      <w:commentRangeEnd w:id="27"/>
      <w:r w:rsidR="004524A5">
        <w:rPr>
          <w:rStyle w:val="CommentReference"/>
          <w:rFonts w:cs="Calibri"/>
          <w:sz w:val="22"/>
          <w:szCs w:val="22"/>
        </w:rPr>
        <w:commentReference w:id="27"/>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8"/>
      <w:r w:rsidRPr="00B268C9">
        <w:rPr>
          <w:rFonts w:ascii="Trebuchet MS" w:hAnsi="Trebuchet MS"/>
          <w:b/>
          <w:bCs/>
          <w:sz w:val="28"/>
          <w:szCs w:val="28"/>
        </w:rPr>
        <w:lastRenderedPageBreak/>
        <w:t>Labour Market Assessment</w:t>
      </w:r>
      <w:commentRangeEnd w:id="28"/>
      <w:r w:rsidR="004524A5" w:rsidRPr="00B268C9">
        <w:rPr>
          <w:rStyle w:val="CommentReference"/>
          <w:rFonts w:ascii="Trebuchet MS" w:hAnsi="Trebuchet MS"/>
          <w:b/>
          <w:bCs/>
          <w:sz w:val="28"/>
          <w:szCs w:val="28"/>
        </w:rPr>
        <w:commentReference w:id="28"/>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18D3C76C"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Pr="00C31ACE">
        <w:rPr>
          <w:b/>
          <w:bCs/>
          <w:i w:val="0"/>
          <w:iCs w:val="0"/>
          <w:sz w:val="22"/>
          <w:szCs w:val="22"/>
        </w:rPr>
        <w:fldChar w:fldCharType="begin"/>
      </w:r>
      <w:r w:rsidRPr="00C31ACE">
        <w:rPr>
          <w:b/>
          <w:bCs/>
          <w:i w:val="0"/>
          <w:iCs w:val="0"/>
          <w:sz w:val="22"/>
          <w:szCs w:val="22"/>
        </w:rPr>
        <w:instrText xml:space="preserve"> SEQ Figure \* ARABIC </w:instrText>
      </w:r>
      <w:r w:rsidRPr="00C31ACE">
        <w:rPr>
          <w:b/>
          <w:bCs/>
          <w:i w:val="0"/>
          <w:iCs w:val="0"/>
          <w:sz w:val="22"/>
          <w:szCs w:val="22"/>
        </w:rPr>
        <w:fldChar w:fldCharType="separate"/>
      </w:r>
      <w:r w:rsidR="00B81589">
        <w:rPr>
          <w:b/>
          <w:bCs/>
          <w:i w:val="0"/>
          <w:iCs w:val="0"/>
          <w:noProof/>
          <w:sz w:val="22"/>
          <w:szCs w:val="22"/>
        </w:rPr>
        <w:t>8</w:t>
      </w:r>
      <w:r w:rsidRPr="00C31ACE">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19"/>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lastRenderedPageBreak/>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29"/>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29"/>
      <w:r w:rsidR="004524A5">
        <w:rPr>
          <w:rStyle w:val="CommentReference"/>
          <w:rFonts w:cs="Aptos Serif"/>
          <w:sz w:val="22"/>
          <w:szCs w:val="22"/>
        </w:rPr>
        <w:commentReference w:id="29"/>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w:t>
      </w:r>
      <w:r w:rsidR="00007CBE">
        <w:rPr>
          <w:rFonts w:cs="Aptos Serif"/>
        </w:rPr>
        <w:lastRenderedPageBreak/>
        <w:t xml:space="preserve">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0F9637D4"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Pr="002F5E4D">
        <w:rPr>
          <w:b/>
          <w:bCs/>
          <w:i w:val="0"/>
          <w:iCs w:val="0"/>
          <w:sz w:val="22"/>
          <w:szCs w:val="22"/>
        </w:rPr>
        <w:fldChar w:fldCharType="begin"/>
      </w:r>
      <w:r w:rsidRPr="002F5E4D">
        <w:rPr>
          <w:b/>
          <w:bCs/>
          <w:i w:val="0"/>
          <w:iCs w:val="0"/>
          <w:sz w:val="22"/>
          <w:szCs w:val="22"/>
        </w:rPr>
        <w:instrText xml:space="preserve"> SEQ Figure \* ARABIC </w:instrText>
      </w:r>
      <w:r w:rsidRPr="002F5E4D">
        <w:rPr>
          <w:b/>
          <w:bCs/>
          <w:i w:val="0"/>
          <w:iCs w:val="0"/>
          <w:sz w:val="22"/>
          <w:szCs w:val="22"/>
        </w:rPr>
        <w:fldChar w:fldCharType="separate"/>
      </w:r>
      <w:r w:rsidR="00B81589">
        <w:rPr>
          <w:b/>
          <w:bCs/>
          <w:i w:val="0"/>
          <w:iCs w:val="0"/>
          <w:noProof/>
          <w:sz w:val="22"/>
          <w:szCs w:val="22"/>
        </w:rPr>
        <w:t>9</w:t>
      </w:r>
      <w:r w:rsidRPr="002F5E4D">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20"/>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 xml:space="preserve">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w:t>
      </w:r>
      <w:r w:rsidRPr="001039A4">
        <w:rPr>
          <w:rFonts w:cs="Calibri"/>
        </w:rPr>
        <w:lastRenderedPageBreak/>
        <w:t>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0"/>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0"/>
            <w:r w:rsidR="004524A5" w:rsidRPr="00D22CE8">
              <w:rPr>
                <w:rStyle w:val="CommentReference"/>
                <w:rFonts w:cs="Calibri"/>
                <w:sz w:val="20"/>
                <w:szCs w:val="20"/>
              </w:rPr>
              <w:commentReference w:id="30"/>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1"/>
      <w:r w:rsidRPr="00190CCF">
        <w:rPr>
          <w:b/>
          <w:bCs/>
          <w:sz w:val="24"/>
          <w:szCs w:val="24"/>
        </w:rPr>
        <w:lastRenderedPageBreak/>
        <w:t>Gender Participation Gap</w:t>
      </w:r>
      <w:commentRangeEnd w:id="31"/>
      <w:r w:rsidR="004524A5" w:rsidRPr="00190CCF">
        <w:rPr>
          <w:rStyle w:val="CommentReference"/>
          <w:b/>
          <w:bCs/>
          <w:sz w:val="24"/>
          <w:szCs w:val="24"/>
        </w:rPr>
        <w:commentReference w:id="31"/>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10E87F55" w:rsidR="006803F4" w:rsidRDefault="006803F4" w:rsidP="006803F4">
      <w:pPr>
        <w:pStyle w:val="Caption"/>
        <w:keepNext/>
        <w:spacing w:after="0"/>
        <w:jc w:val="center"/>
        <w:rPr>
          <w:b/>
          <w:bCs/>
          <w:i w:val="0"/>
          <w:iCs w:val="0"/>
          <w:sz w:val="22"/>
          <w:szCs w:val="22"/>
        </w:rPr>
      </w:pPr>
      <w:commentRangeStart w:id="32"/>
      <w:r w:rsidRPr="00E2026A">
        <w:rPr>
          <w:b/>
          <w:bCs/>
          <w:i w:val="0"/>
          <w:iCs w:val="0"/>
          <w:sz w:val="22"/>
          <w:szCs w:val="22"/>
        </w:rPr>
        <w:t xml:space="preserve">Figure </w:t>
      </w:r>
      <w:r w:rsidRPr="00E2026A">
        <w:rPr>
          <w:b/>
          <w:bCs/>
          <w:i w:val="0"/>
          <w:iCs w:val="0"/>
          <w:sz w:val="22"/>
          <w:szCs w:val="22"/>
        </w:rPr>
        <w:fldChar w:fldCharType="begin"/>
      </w:r>
      <w:r w:rsidRPr="00E2026A">
        <w:rPr>
          <w:b/>
          <w:bCs/>
          <w:i w:val="0"/>
          <w:iCs w:val="0"/>
          <w:sz w:val="22"/>
          <w:szCs w:val="22"/>
        </w:rPr>
        <w:instrText xml:space="preserve"> SEQ Figure \* ARABIC </w:instrText>
      </w:r>
      <w:r w:rsidRPr="00E2026A">
        <w:rPr>
          <w:b/>
          <w:bCs/>
          <w:i w:val="0"/>
          <w:iCs w:val="0"/>
          <w:sz w:val="22"/>
          <w:szCs w:val="22"/>
        </w:rPr>
        <w:fldChar w:fldCharType="separate"/>
      </w:r>
      <w:r w:rsidR="00B81589">
        <w:rPr>
          <w:b/>
          <w:bCs/>
          <w:i w:val="0"/>
          <w:iCs w:val="0"/>
          <w:noProof/>
          <w:sz w:val="22"/>
          <w:szCs w:val="22"/>
        </w:rPr>
        <w:t>10</w:t>
      </w:r>
      <w:r w:rsidRPr="00E2026A">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2"/>
      <w:r w:rsidR="004524A5" w:rsidRPr="00E2026A">
        <w:rPr>
          <w:rStyle w:val="CommentReference"/>
          <w:b/>
          <w:bCs/>
          <w:i w:val="0"/>
          <w:iCs w:val="0"/>
          <w:sz w:val="22"/>
          <w:szCs w:val="22"/>
        </w:rPr>
        <w:commentReference w:id="32"/>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21"/>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w:t>
      </w:r>
      <w:r w:rsidRPr="00E32DAA">
        <w:rPr>
          <w:rFonts w:cs="Calibri"/>
        </w:rPr>
        <w:lastRenderedPageBreak/>
        <w:t xml:space="preserve">domestic responsibilities, transportation limitations, </w:t>
      </w:r>
      <w:commentRangeStart w:id="33"/>
      <w:r w:rsidRPr="00E32DAA">
        <w:rPr>
          <w:rFonts w:cs="Calibri"/>
        </w:rPr>
        <w:t xml:space="preserve">occupational segregation, </w:t>
      </w:r>
      <w:commentRangeEnd w:id="33"/>
      <w:r w:rsidR="004524A5" w:rsidRPr="00E32DAA">
        <w:rPr>
          <w:rStyle w:val="CommentReference"/>
          <w:rFonts w:cs="Calibri"/>
          <w:sz w:val="22"/>
          <w:szCs w:val="22"/>
        </w:rPr>
        <w:commentReference w:id="33"/>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 xml:space="preserve">These constraints likely </w:t>
      </w:r>
      <w:r w:rsidRPr="00250C74">
        <w:rPr>
          <w:rFonts w:cs="Calibri"/>
        </w:rPr>
        <w:lastRenderedPageBreak/>
        <w:t>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lastRenderedPageBreak/>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4269A603"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Pr="004A70F0">
        <w:rPr>
          <w:b/>
          <w:bCs/>
          <w:i w:val="0"/>
          <w:iCs w:val="0"/>
          <w:sz w:val="22"/>
          <w:szCs w:val="22"/>
        </w:rPr>
        <w:fldChar w:fldCharType="begin"/>
      </w:r>
      <w:r w:rsidRPr="004A70F0">
        <w:rPr>
          <w:b/>
          <w:bCs/>
          <w:i w:val="0"/>
          <w:iCs w:val="0"/>
          <w:sz w:val="22"/>
          <w:szCs w:val="22"/>
        </w:rPr>
        <w:instrText xml:space="preserve"> SEQ Figure \* ARABIC </w:instrText>
      </w:r>
      <w:r w:rsidRPr="004A70F0">
        <w:rPr>
          <w:b/>
          <w:bCs/>
          <w:i w:val="0"/>
          <w:iCs w:val="0"/>
          <w:sz w:val="22"/>
          <w:szCs w:val="22"/>
        </w:rPr>
        <w:fldChar w:fldCharType="separate"/>
      </w:r>
      <w:r w:rsidR="00B81589">
        <w:rPr>
          <w:b/>
          <w:bCs/>
          <w:i w:val="0"/>
          <w:iCs w:val="0"/>
          <w:noProof/>
          <w:sz w:val="22"/>
          <w:szCs w:val="22"/>
        </w:rPr>
        <w:t>11</w:t>
      </w:r>
      <w:r w:rsidRPr="004A70F0">
        <w:rPr>
          <w:b/>
          <w:bCs/>
          <w:i w:val="0"/>
          <w:iCs w:val="0"/>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2"/>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lastRenderedPageBreak/>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lastRenderedPageBreak/>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6A129B87" w:rsidR="004520CC" w:rsidRDefault="004520CC" w:rsidP="00C70ADB">
      <w:pPr>
        <w:jc w:val="center"/>
        <w:rPr>
          <w:b/>
          <w:bCs/>
          <w:i/>
          <w:iCs/>
        </w:rPr>
      </w:pPr>
      <w:r w:rsidRPr="00986BB3">
        <w:rPr>
          <w:b/>
          <w:bCs/>
        </w:rPr>
        <w:t xml:space="preserve">Figure </w:t>
      </w:r>
      <w:r w:rsidRPr="00986BB3">
        <w:rPr>
          <w:b/>
          <w:bCs/>
        </w:rPr>
        <w:fldChar w:fldCharType="begin"/>
      </w:r>
      <w:r w:rsidRPr="00986BB3">
        <w:rPr>
          <w:b/>
          <w:bCs/>
        </w:rPr>
        <w:instrText xml:space="preserve"> SEQ Figure \* ARABIC </w:instrText>
      </w:r>
      <w:r w:rsidRPr="00986BB3">
        <w:rPr>
          <w:b/>
          <w:bCs/>
        </w:rPr>
        <w:fldChar w:fldCharType="separate"/>
      </w:r>
      <w:r w:rsidR="00B81589">
        <w:rPr>
          <w:b/>
          <w:bCs/>
          <w:noProof/>
        </w:rPr>
        <w:t>12</w:t>
      </w:r>
      <w:r w:rsidRPr="00986BB3">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3"/>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lastRenderedPageBreak/>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4"/>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4"/>
      <w:r w:rsidR="004524A5">
        <w:rPr>
          <w:rStyle w:val="CommentReference"/>
          <w:rFonts w:cs="Calibri"/>
          <w:sz w:val="22"/>
          <w:szCs w:val="22"/>
        </w:rPr>
        <w:commentReference w:id="34"/>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66E56D19" w:rsidR="00B61122" w:rsidRDefault="00B61122" w:rsidP="00B61122">
      <w:pPr>
        <w:pStyle w:val="Caption"/>
        <w:keepNext/>
        <w:spacing w:after="0"/>
        <w:jc w:val="center"/>
        <w:rPr>
          <w:b/>
          <w:bCs/>
          <w:i w:val="0"/>
          <w:iCs w:val="0"/>
          <w:sz w:val="22"/>
          <w:szCs w:val="22"/>
        </w:rPr>
      </w:pPr>
      <w:r w:rsidRPr="000D628F">
        <w:rPr>
          <w:b/>
          <w:bCs/>
          <w:i w:val="0"/>
          <w:iCs w:val="0"/>
          <w:sz w:val="22"/>
          <w:szCs w:val="22"/>
        </w:rPr>
        <w:lastRenderedPageBreak/>
        <w:t xml:space="preserve">Figure </w:t>
      </w:r>
      <w:r w:rsidRPr="000D628F">
        <w:rPr>
          <w:b/>
          <w:bCs/>
          <w:i w:val="0"/>
          <w:iCs w:val="0"/>
          <w:sz w:val="22"/>
          <w:szCs w:val="22"/>
        </w:rPr>
        <w:fldChar w:fldCharType="begin"/>
      </w:r>
      <w:r w:rsidRPr="000D628F">
        <w:rPr>
          <w:b/>
          <w:bCs/>
          <w:i w:val="0"/>
          <w:iCs w:val="0"/>
          <w:sz w:val="22"/>
          <w:szCs w:val="22"/>
        </w:rPr>
        <w:instrText xml:space="preserve"> SEQ Figure \* ARABIC </w:instrText>
      </w:r>
      <w:r w:rsidRPr="000D628F">
        <w:rPr>
          <w:b/>
          <w:bCs/>
          <w:i w:val="0"/>
          <w:iCs w:val="0"/>
          <w:sz w:val="22"/>
          <w:szCs w:val="22"/>
        </w:rPr>
        <w:fldChar w:fldCharType="separate"/>
      </w:r>
      <w:r w:rsidR="00B81589">
        <w:rPr>
          <w:b/>
          <w:bCs/>
          <w:i w:val="0"/>
          <w:iCs w:val="0"/>
          <w:noProof/>
          <w:sz w:val="22"/>
          <w:szCs w:val="22"/>
        </w:rPr>
        <w:t>13</w:t>
      </w:r>
      <w:r w:rsidRPr="000D628F">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5"/>
      <w:r>
        <w:rPr>
          <w:b/>
          <w:bCs/>
          <w:i w:val="0"/>
          <w:iCs w:val="0"/>
          <w:sz w:val="22"/>
          <w:szCs w:val="22"/>
        </w:rPr>
        <w:t>Belize: Persons Outside the Labour Force by Sex</w:t>
      </w:r>
      <w:commentRangeEnd w:id="35"/>
      <w:r w:rsidR="004524A5" w:rsidRPr="000D628F">
        <w:rPr>
          <w:rStyle w:val="CommentReference"/>
          <w:b/>
          <w:bCs/>
          <w:i w:val="0"/>
          <w:iCs w:val="0"/>
          <w:sz w:val="22"/>
          <w:szCs w:val="22"/>
        </w:rPr>
        <w:commentReference w:id="35"/>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4"/>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6"/>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6"/>
      <w:r w:rsidR="004524A5">
        <w:rPr>
          <w:rStyle w:val="CommentReference"/>
          <w:rFonts w:cs="Calibri"/>
          <w:sz w:val="22"/>
          <w:szCs w:val="22"/>
        </w:rPr>
        <w:commentReference w:id="36"/>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7"/>
      <w:r w:rsidRPr="006803F4">
        <w:rPr>
          <w:rFonts w:cs="Calibri"/>
        </w:rPr>
        <w:t xml:space="preserve">From a broader macroeconomic perspective, persistently high female labour force inactivity </w:t>
      </w:r>
      <w:r w:rsidRPr="006803F4">
        <w:rPr>
          <w:rFonts w:cs="Calibri"/>
        </w:rPr>
        <w:lastRenderedPageBreak/>
        <w:t>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7"/>
      <w:r w:rsidR="004524A5">
        <w:rPr>
          <w:rStyle w:val="CommentReference"/>
          <w:rFonts w:cs="Calibri"/>
          <w:sz w:val="22"/>
          <w:szCs w:val="22"/>
        </w:rPr>
        <w:commentReference w:id="37"/>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3"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4"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5"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6" w:author="Tommy Descartes" w:date="2026-05-27T11:01:00Z" w:initials="TD">
    <w:p w14:paraId="0774AA0C" w14:textId="77777777" w:rsidR="00FE75EE" w:rsidRDefault="00FE75EE" w:rsidP="00FE75EE">
      <w:pPr>
        <w:pStyle w:val="CommentText"/>
      </w:pPr>
      <w:r>
        <w:rPr>
          <w:rStyle w:val="CommentReference"/>
        </w:rPr>
        <w:annotationRef/>
      </w:r>
      <w:r>
        <w:t>Should this graph be separated??</w:t>
      </w:r>
    </w:p>
  </w:comment>
  <w:comment w:id="7" w:author="Tommy Descartes" w:date="2026-05-25T18:34:00Z" w:initials="TD">
    <w:p w14:paraId="1F3E021D" w14:textId="77777777" w:rsidR="00F32E16" w:rsidRDefault="00F32E16" w:rsidP="00116F99">
      <w:pPr>
        <w:pStyle w:val="CommentText"/>
      </w:pPr>
      <w:r>
        <w:rPr>
          <w:rStyle w:val="CommentReference"/>
        </w:rPr>
        <w:annotationRef/>
      </w:r>
      <w:r>
        <w:t>Merge the two statements.</w:t>
      </w:r>
    </w:p>
  </w:comment>
  <w:comment w:id="8" w:author="Tommy Descartes" w:date="2026-05-14T10:57:00Z" w:initials="TD">
    <w:p w14:paraId="28E3C8B6" w14:textId="77777777" w:rsidR="00F32E16" w:rsidRDefault="00F32E16" w:rsidP="00CB3548">
      <w:pPr>
        <w:pStyle w:val="CommentText"/>
      </w:pPr>
      <w:r>
        <w:rPr>
          <w:rStyle w:val="CommentReference"/>
        </w:rPr>
        <w:annotationRef/>
      </w:r>
      <w:r>
        <w:t>Tourism reciepts???</w:t>
      </w:r>
    </w:p>
  </w:comment>
  <w:comment w:id="9"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0"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1" w:author="Tommy Descartes" w:date="2026-05-27T12:00:00Z" w:initials="TD">
    <w:p w14:paraId="50226FE1" w14:textId="77777777" w:rsidR="00355690" w:rsidRDefault="00355690" w:rsidP="00355690">
      <w:pPr>
        <w:pStyle w:val="CommentText"/>
      </w:pPr>
      <w:r>
        <w:rPr>
          <w:rStyle w:val="CommentReference"/>
        </w:rPr>
        <w:annotationRef/>
      </w:r>
      <w:r>
        <w:t>Updated this graph with more data from 1981 to 2023</w:t>
      </w:r>
    </w:p>
  </w:comment>
  <w:comment w:id="13"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2"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4"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5"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7"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6"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8"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19"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0"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1"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2"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3"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4"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5"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6"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7"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8"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29"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0"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1"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2"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3"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4"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5"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6"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7"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0774AA0C" w15:done="0"/>
  <w15:commentEx w15:paraId="1F3E021D" w15:done="0"/>
  <w15:commentEx w15:paraId="28E3C8B6" w15:done="0"/>
  <w15:commentEx w15:paraId="5E6AA443" w15:done="0"/>
  <w15:commentEx w15:paraId="11DFEF63" w15:done="1"/>
  <w15:commentEx w15:paraId="50226FE1" w15:paraIdParent="11DFEF63" w15:done="1"/>
  <w15:commentEx w15:paraId="7D48D290" w15:done="0"/>
  <w15:commentEx w15:paraId="335D8CAF" w15:done="0"/>
  <w15:commentEx w15:paraId="086B81C9" w15:done="0"/>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1906487B" w16cex:dateUtc="2026-05-27T15:01:00Z"/>
  <w16cex:commentExtensible w16cex:durableId="47D2AFE5" w16cex:dateUtc="2026-05-25T22:34:00Z"/>
  <w16cex:commentExtensible w16cex:durableId="3EBB622C" w16cex:dateUtc="2026-05-14T14:57:00Z"/>
  <w16cex:commentExtensible w16cex:durableId="7ED5E3AA" w16cex:dateUtc="2026-05-15T15:54:00Z"/>
  <w16cex:commentExtensible w16cex:durableId="41FB9971" w16cex:dateUtc="2026-05-25T22:51:00Z"/>
  <w16cex:commentExtensible w16cex:durableId="42BC2FDA" w16cex:dateUtc="2026-05-27T16:00: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0774AA0C" w16cid:durableId="1906487B"/>
  <w16cid:commentId w16cid:paraId="1F3E021D" w16cid:durableId="47D2AFE5"/>
  <w16cid:commentId w16cid:paraId="28E3C8B6" w16cid:durableId="3EBB622C"/>
  <w16cid:commentId w16cid:paraId="5E6AA443" w16cid:durableId="7ED5E3AA"/>
  <w16cid:commentId w16cid:paraId="11DFEF63" w16cid:durableId="41FB9971"/>
  <w16cid:commentId w16cid:paraId="50226FE1" w16cid:durableId="42BC2FDA"/>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46C1C" w14:textId="77777777" w:rsidR="00B73C18" w:rsidRDefault="00B73C18" w:rsidP="009B6503">
      <w:r>
        <w:separator/>
      </w:r>
    </w:p>
  </w:endnote>
  <w:endnote w:type="continuationSeparator" w:id="0">
    <w:p w14:paraId="3CC0952B" w14:textId="77777777" w:rsidR="00B73C18" w:rsidRDefault="00B73C18"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BA121" w14:textId="77777777" w:rsidR="00B73C18" w:rsidRDefault="00B73C18" w:rsidP="009B6503">
      <w:r>
        <w:separator/>
      </w:r>
    </w:p>
  </w:footnote>
  <w:footnote w:type="continuationSeparator" w:id="0">
    <w:p w14:paraId="0BC38EEE" w14:textId="77777777" w:rsidR="00B73C18" w:rsidRDefault="00B73C18"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4597AE1B" w14:textId="77777777" w:rsidR="00F32E16" w:rsidRDefault="00F32E16" w:rsidP="00F32E16">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21F8"/>
    <w:rsid w:val="000C0E51"/>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54A1"/>
    <w:rsid w:val="002C5D74"/>
    <w:rsid w:val="002C723B"/>
    <w:rsid w:val="002F59EB"/>
    <w:rsid w:val="002F5E4D"/>
    <w:rsid w:val="003042FF"/>
    <w:rsid w:val="00305124"/>
    <w:rsid w:val="003074BA"/>
    <w:rsid w:val="00324654"/>
    <w:rsid w:val="003253CC"/>
    <w:rsid w:val="003259A5"/>
    <w:rsid w:val="00335226"/>
    <w:rsid w:val="0035376B"/>
    <w:rsid w:val="00355690"/>
    <w:rsid w:val="00360AB0"/>
    <w:rsid w:val="00373920"/>
    <w:rsid w:val="00393ED3"/>
    <w:rsid w:val="003A4B31"/>
    <w:rsid w:val="003D2B0C"/>
    <w:rsid w:val="003D5BB6"/>
    <w:rsid w:val="003E05B1"/>
    <w:rsid w:val="003F0523"/>
    <w:rsid w:val="003F49B5"/>
    <w:rsid w:val="004006FE"/>
    <w:rsid w:val="00407FF5"/>
    <w:rsid w:val="00410AF3"/>
    <w:rsid w:val="004520CC"/>
    <w:rsid w:val="004524A5"/>
    <w:rsid w:val="00492AEC"/>
    <w:rsid w:val="004A237F"/>
    <w:rsid w:val="004A5EC0"/>
    <w:rsid w:val="004A70F0"/>
    <w:rsid w:val="00505A7A"/>
    <w:rsid w:val="00512CB2"/>
    <w:rsid w:val="00512DCB"/>
    <w:rsid w:val="00517807"/>
    <w:rsid w:val="005222DA"/>
    <w:rsid w:val="00526537"/>
    <w:rsid w:val="00542A41"/>
    <w:rsid w:val="00546E2A"/>
    <w:rsid w:val="00564FF2"/>
    <w:rsid w:val="0057762E"/>
    <w:rsid w:val="00587C5A"/>
    <w:rsid w:val="00592464"/>
    <w:rsid w:val="005B3033"/>
    <w:rsid w:val="005B6235"/>
    <w:rsid w:val="005C0719"/>
    <w:rsid w:val="005C0795"/>
    <w:rsid w:val="005E03C4"/>
    <w:rsid w:val="005F0BF0"/>
    <w:rsid w:val="00602619"/>
    <w:rsid w:val="00621AC8"/>
    <w:rsid w:val="00625592"/>
    <w:rsid w:val="0063164C"/>
    <w:rsid w:val="006461A0"/>
    <w:rsid w:val="00662AB2"/>
    <w:rsid w:val="00665495"/>
    <w:rsid w:val="006766BE"/>
    <w:rsid w:val="006803F4"/>
    <w:rsid w:val="006A2DFB"/>
    <w:rsid w:val="006B6A25"/>
    <w:rsid w:val="00703AC5"/>
    <w:rsid w:val="00721C89"/>
    <w:rsid w:val="007321F9"/>
    <w:rsid w:val="007343AC"/>
    <w:rsid w:val="00742342"/>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4466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36C27"/>
    <w:rsid w:val="00940671"/>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96CB5"/>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3C18"/>
    <w:rsid w:val="00B7528D"/>
    <w:rsid w:val="00B76552"/>
    <w:rsid w:val="00B77045"/>
    <w:rsid w:val="00B81589"/>
    <w:rsid w:val="00B93A43"/>
    <w:rsid w:val="00B960DC"/>
    <w:rsid w:val="00BB05D4"/>
    <w:rsid w:val="00BC1953"/>
    <w:rsid w:val="00BC51AF"/>
    <w:rsid w:val="00BE2B63"/>
    <w:rsid w:val="00BE6C06"/>
    <w:rsid w:val="00BE7B8A"/>
    <w:rsid w:val="00C07845"/>
    <w:rsid w:val="00C15169"/>
    <w:rsid w:val="00C273A0"/>
    <w:rsid w:val="00C31ACE"/>
    <w:rsid w:val="00C406DC"/>
    <w:rsid w:val="00C42727"/>
    <w:rsid w:val="00C61459"/>
    <w:rsid w:val="00C642E2"/>
    <w:rsid w:val="00C70ADB"/>
    <w:rsid w:val="00C71701"/>
    <w:rsid w:val="00C75AEC"/>
    <w:rsid w:val="00C950CE"/>
    <w:rsid w:val="00CA1B30"/>
    <w:rsid w:val="00CA4CD6"/>
    <w:rsid w:val="00CA73A3"/>
    <w:rsid w:val="00CB3548"/>
    <w:rsid w:val="00CC2C07"/>
    <w:rsid w:val="00CC5C70"/>
    <w:rsid w:val="00CD0299"/>
    <w:rsid w:val="00CE1FBC"/>
    <w:rsid w:val="00CE3408"/>
    <w:rsid w:val="00CE644F"/>
    <w:rsid w:val="00CF2FC6"/>
    <w:rsid w:val="00CF4CFD"/>
    <w:rsid w:val="00D04688"/>
    <w:rsid w:val="00D0656E"/>
    <w:rsid w:val="00D12DF3"/>
    <w:rsid w:val="00D154EB"/>
    <w:rsid w:val="00D22CE8"/>
    <w:rsid w:val="00D2635F"/>
    <w:rsid w:val="00D420B6"/>
    <w:rsid w:val="00D627A9"/>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40E5"/>
    <w:rsid w:val="00E37CBB"/>
    <w:rsid w:val="00E6273C"/>
    <w:rsid w:val="00E665A5"/>
    <w:rsid w:val="00E715B0"/>
    <w:rsid w:val="00E724F4"/>
    <w:rsid w:val="00E7398C"/>
    <w:rsid w:val="00E74996"/>
    <w:rsid w:val="00E76367"/>
    <w:rsid w:val="00E803AF"/>
    <w:rsid w:val="00E84DAF"/>
    <w:rsid w:val="00EA052A"/>
    <w:rsid w:val="00EB6F13"/>
    <w:rsid w:val="00EE1C1F"/>
    <w:rsid w:val="00EE6BEA"/>
    <w:rsid w:val="00F070CE"/>
    <w:rsid w:val="00F13C3E"/>
    <w:rsid w:val="00F17BE9"/>
    <w:rsid w:val="00F21CA5"/>
    <w:rsid w:val="00F3027E"/>
    <w:rsid w:val="00F32E16"/>
    <w:rsid w:val="00F33F59"/>
    <w:rsid w:val="00F433F3"/>
    <w:rsid w:val="00F512BA"/>
    <w:rsid w:val="00F54554"/>
    <w:rsid w:val="00F54F8F"/>
    <w:rsid w:val="00F57270"/>
    <w:rsid w:val="00F60878"/>
    <w:rsid w:val="00F6242A"/>
    <w:rsid w:val="00F858A5"/>
    <w:rsid w:val="00F8723D"/>
    <w:rsid w:val="00FA65E0"/>
    <w:rsid w:val="00FB368B"/>
    <w:rsid w:val="00FB418A"/>
    <w:rsid w:val="00FB5B8A"/>
    <w:rsid w:val="00FC5404"/>
    <w:rsid w:val="00FD5C71"/>
    <w:rsid w:val="00FE613A"/>
    <w:rsid w:val="00FE75EE"/>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1643</TotalTime>
  <Pages>28</Pages>
  <Words>9883</Words>
  <Characters>56337</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8</cp:revision>
  <dcterms:created xsi:type="dcterms:W3CDTF">2026-05-26T11:29:00Z</dcterms:created>
  <dcterms:modified xsi:type="dcterms:W3CDTF">2026-05-27T19:02:00Z</dcterms:modified>
</cp:coreProperties>
</file>