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587C5A">
      <w:pPr>
        <w:pStyle w:val="Heading2"/>
        <w:spacing w:before="0"/>
        <w:rPr>
          <w:rFonts w:ascii="Trebuchet MS" w:hAnsi="Trebuchet MS"/>
          <w:b/>
          <w:bCs/>
          <w:sz w:val="24"/>
          <w:szCs w:val="24"/>
        </w:rPr>
      </w:pPr>
      <w:r>
        <w:rPr>
          <w:rFonts w:ascii="Trebuchet MS" w:hAnsi="Trebuchet MS"/>
          <w:b/>
          <w:bCs/>
          <w:sz w:val="24"/>
          <w:szCs w:val="24"/>
        </w:rPr>
        <w:t>Economic Growth</w:t>
      </w:r>
      <w:commentRangeStart w:id="1"/>
      <w:commentRangeStart w:id="2"/>
      <w:r w:rsidR="009B6503" w:rsidRPr="00B268C9">
        <w:rPr>
          <w:rFonts w:ascii="Trebuchet MS" w:hAnsi="Trebuchet MS"/>
          <w:b/>
          <w:bCs/>
          <w:sz w:val="24"/>
          <w:szCs w:val="24"/>
        </w:rPr>
        <w:t xml:space="preserve"> </w:t>
      </w:r>
      <w:commentRangeEnd w:id="1"/>
      <w:r w:rsidR="004524A5" w:rsidRPr="00B268C9">
        <w:rPr>
          <w:rStyle w:val="CommentReference"/>
          <w:rFonts w:ascii="Trebuchet MS" w:hAnsi="Trebuchet MS"/>
          <w:b/>
          <w:bCs/>
          <w:sz w:val="24"/>
          <w:szCs w:val="24"/>
        </w:rPr>
        <w:commentReference w:id="1"/>
      </w:r>
      <w:commentRangeEnd w:id="2"/>
      <w:r w:rsidR="0017039C" w:rsidRPr="00B268C9">
        <w:rPr>
          <w:rStyle w:val="CommentReference"/>
          <w:rFonts w:ascii="Trebuchet MS" w:hAnsi="Trebuchet MS"/>
          <w:b/>
          <w:bCs/>
          <w:sz w:val="24"/>
          <w:szCs w:val="24"/>
        </w:rPr>
        <w:commentReference w:id="2"/>
      </w:r>
    </w:p>
    <w:p w14:paraId="0B31B42B" w14:textId="77777777" w:rsidR="009B6503" w:rsidRPr="00A35137" w:rsidRDefault="009B6503" w:rsidP="009B6503">
      <w:pPr>
        <w:pStyle w:val="BodyText"/>
        <w:ind w:left="-284" w:right="-447"/>
        <w:jc w:val="both"/>
        <w:rPr>
          <w:rFonts w:cs="Calibri"/>
        </w:rPr>
      </w:pPr>
    </w:p>
    <w:p w14:paraId="25F61BA8" w14:textId="03676328" w:rsidR="009A6624" w:rsidRDefault="009B6503" w:rsidP="009B6503">
      <w:pPr>
        <w:pStyle w:val="BodyText"/>
        <w:ind w:right="-23"/>
        <w:jc w:val="both"/>
        <w:rPr>
          <w:rFonts w:cs="Calibri"/>
        </w:rPr>
      </w:pPr>
      <w:r w:rsidRPr="00A35137">
        <w:rPr>
          <w:rFonts w:cs="Calibri"/>
        </w:rPr>
        <w:t>Belize’s post-independence economic growth performance has been characterized by period</w:t>
      </w:r>
      <w:r w:rsidR="009A6624">
        <w:rPr>
          <w:rFonts w:cs="Calibri"/>
        </w:rPr>
        <w:t>s of economic expansion punctuated by elevated volatility and increasing exposure to external shocks</w:t>
      </w:r>
      <w:r w:rsidRPr="00A35137">
        <w:rPr>
          <w:rStyle w:val="FootnoteReference"/>
          <w:rFonts w:cs="Calibri"/>
        </w:rPr>
        <w:footnoteReference w:id="1"/>
      </w:r>
      <w:r w:rsidRPr="00A35137">
        <w:rPr>
          <w:rFonts w:cs="Calibri"/>
        </w:rPr>
        <w:t xml:space="preserve">. </w:t>
      </w:r>
      <w:r w:rsidR="009A6624">
        <w:rPr>
          <w:rFonts w:cs="Calibri"/>
        </w:rPr>
        <w:t xml:space="preserve">Between 1980 and the early 1990s, the economy experienced several episodes of robust growth, including multiple years of double-digit expansion in economic activity (Figure 1 – Panel 1). This performance was driven primarily by agricultural expansion, diversification into tourism services and public sector investment. Growth, however, moderated significantly thereafter, particularly following the global financial crisis, with the post-2008 period characterized by lower average growth and repeated episodes of economic contraction. Over time, the economy has </w:t>
      </w:r>
      <w:r w:rsidR="00587C5A">
        <w:rPr>
          <w:rFonts w:cs="Calibri"/>
        </w:rPr>
        <w:t>become increasingly vulnerable to global economic fluctuations, natural disasters and commodity price shocks. These vulnerabilities culminated in 2020, when, amid the COVID-19 pandemic, Belize recorded its largest economic contraction in recent history, with output declining by 13.5% percent.</w:t>
      </w:r>
    </w:p>
    <w:p w14:paraId="10F7108E" w14:textId="77777777" w:rsidR="009A6624" w:rsidRDefault="009A6624" w:rsidP="009B6503">
      <w:pPr>
        <w:pStyle w:val="BodyText"/>
        <w:ind w:right="-23"/>
        <w:jc w:val="both"/>
        <w:rPr>
          <w:rFonts w:cs="Calibri"/>
        </w:rPr>
      </w:pPr>
    </w:p>
    <w:p w14:paraId="4CF7B32E" w14:textId="77777777" w:rsidR="009A6624" w:rsidRPr="0017039C" w:rsidRDefault="009A6624" w:rsidP="009A6624">
      <w:pPr>
        <w:pStyle w:val="Caption"/>
        <w:keepNext/>
        <w:spacing w:after="0"/>
        <w:jc w:val="center"/>
        <w:rPr>
          <w:rFonts w:cs="Calibri"/>
          <w:b/>
          <w:bCs/>
          <w:i w:val="0"/>
          <w:iCs w:val="0"/>
          <w:caps/>
          <w:sz w:val="22"/>
          <w:szCs w:val="22"/>
        </w:rPr>
      </w:pPr>
      <w:commentRangeStart w:id="3"/>
      <w:commentRangeStart w:id="4"/>
      <w:r w:rsidRPr="0017039C">
        <w:rPr>
          <w:rFonts w:cs="Calibri"/>
          <w:b/>
          <w:bCs/>
          <w:i w:val="0"/>
          <w:iCs w:val="0"/>
          <w:caps/>
          <w:sz w:val="22"/>
          <w:szCs w:val="22"/>
        </w:rPr>
        <w:t xml:space="preserve">Figure </w:t>
      </w:r>
      <w:r w:rsidRPr="0017039C">
        <w:rPr>
          <w:rFonts w:cs="Calibri"/>
          <w:b/>
          <w:bCs/>
          <w:i w:val="0"/>
          <w:iCs w:val="0"/>
          <w:caps/>
          <w:sz w:val="22"/>
          <w:szCs w:val="22"/>
        </w:rPr>
        <w:fldChar w:fldCharType="begin"/>
      </w:r>
      <w:r w:rsidRPr="0017039C">
        <w:rPr>
          <w:rFonts w:cs="Calibri"/>
          <w:b/>
          <w:bCs/>
          <w:i w:val="0"/>
          <w:iCs w:val="0"/>
          <w:caps/>
          <w:sz w:val="22"/>
          <w:szCs w:val="22"/>
        </w:rPr>
        <w:instrText xml:space="preserve"> SEQ Figure \* ARABIC </w:instrText>
      </w:r>
      <w:r w:rsidRPr="0017039C">
        <w:rPr>
          <w:rFonts w:cs="Calibri"/>
          <w:b/>
          <w:bCs/>
          <w:i w:val="0"/>
          <w:iCs w:val="0"/>
          <w:caps/>
          <w:sz w:val="22"/>
          <w:szCs w:val="22"/>
        </w:rPr>
        <w:fldChar w:fldCharType="separate"/>
      </w:r>
      <w:r w:rsidRPr="0017039C">
        <w:rPr>
          <w:rFonts w:cs="Calibri"/>
          <w:b/>
          <w:bCs/>
          <w:i w:val="0"/>
          <w:iCs w:val="0"/>
          <w:caps/>
          <w:noProof/>
          <w:sz w:val="22"/>
          <w:szCs w:val="22"/>
        </w:rPr>
        <w:t>1</w:t>
      </w:r>
      <w:r w:rsidRPr="0017039C">
        <w:rPr>
          <w:rFonts w:cs="Calibri"/>
          <w:b/>
          <w:bCs/>
          <w:i w:val="0"/>
          <w:iCs w:val="0"/>
          <w:caps/>
          <w:sz w:val="22"/>
          <w:szCs w:val="22"/>
        </w:rPr>
        <w:fldChar w:fldCharType="end"/>
      </w:r>
      <w:r w:rsidRPr="0017039C">
        <w:rPr>
          <w:rFonts w:cs="Calibri"/>
          <w:b/>
          <w:bCs/>
          <w:i w:val="0"/>
          <w:iCs w:val="0"/>
          <w:caps/>
          <w:sz w:val="22"/>
          <w:szCs w:val="22"/>
        </w:rPr>
        <w:t xml:space="preserve">: </w:t>
      </w:r>
      <w:commentRangeEnd w:id="3"/>
      <w:r w:rsidR="004524A5" w:rsidRPr="00A35137">
        <w:rPr>
          <w:rStyle w:val="CommentReference"/>
          <w:rFonts w:cs="Calibri"/>
          <w:b/>
          <w:bCs/>
          <w:i w:val="0"/>
          <w:iCs w:val="0"/>
          <w:caps/>
          <w:sz w:val="22"/>
          <w:szCs w:val="22"/>
        </w:rPr>
        <w:commentReference w:id="3"/>
      </w:r>
      <w:commentRangeEnd w:id="4"/>
      <w:r w:rsidR="00122967" w:rsidRPr="00A35137">
        <w:rPr>
          <w:rStyle w:val="CommentReference"/>
          <w:rFonts w:cs="Calibri"/>
          <w:b/>
          <w:bCs/>
          <w:i w:val="0"/>
          <w:iCs w:val="0"/>
          <w:caps/>
          <w:sz w:val="22"/>
          <w:szCs w:val="22"/>
        </w:rPr>
        <w:commentReference w:id="4"/>
      </w:r>
    </w:p>
    <w:p w14:paraId="55A1B703" w14:textId="77777777" w:rsidR="009A6624" w:rsidRPr="007C79B8" w:rsidRDefault="009A6624" w:rsidP="009A6624">
      <w:pPr>
        <w:pStyle w:val="Caption"/>
        <w:keepNext/>
        <w:spacing w:after="0"/>
        <w:jc w:val="center"/>
        <w:rPr>
          <w:rFonts w:cs="Calibri"/>
          <w:b/>
          <w:bCs/>
          <w:i w:val="0"/>
          <w:iCs w:val="0"/>
          <w:sz w:val="22"/>
          <w:szCs w:val="22"/>
        </w:rPr>
      </w:pPr>
      <w:commentRangeStart w:id="5"/>
      <w:r w:rsidRPr="007C79B8">
        <w:rPr>
          <w:rFonts w:cs="Calibri"/>
          <w:b/>
          <w:bCs/>
          <w:i w:val="0"/>
          <w:iCs w:val="0"/>
          <w:sz w:val="22"/>
          <w:szCs w:val="22"/>
        </w:rPr>
        <w:t>Belize Real GDP Growth, Annual percentage and 5-Year Average (1980 – 2025)</w:t>
      </w:r>
      <w:commentRangeEnd w:id="5"/>
      <w:r w:rsidR="004524A5" w:rsidRPr="00A35137">
        <w:rPr>
          <w:rStyle w:val="CommentReference"/>
          <w:rFonts w:cs="Calibri"/>
          <w:b/>
          <w:bCs/>
          <w:i w:val="0"/>
          <w:iCs w:val="0"/>
          <w:sz w:val="22"/>
          <w:szCs w:val="22"/>
        </w:rPr>
        <w:commentReference w:id="5"/>
      </w:r>
    </w:p>
    <w:p w14:paraId="37F6DCFC" w14:textId="77777777" w:rsidR="009A6624" w:rsidRPr="00A35137" w:rsidRDefault="009A6624" w:rsidP="009A6624">
      <w:pPr>
        <w:pStyle w:val="BodyText"/>
        <w:ind w:right="-447"/>
        <w:jc w:val="both"/>
        <w:rPr>
          <w:rFonts w:cs="Calibri"/>
        </w:rPr>
      </w:pPr>
      <w:r w:rsidRPr="00956855">
        <w:drawing>
          <wp:inline distT="0" distB="0" distL="0" distR="0" wp14:anchorId="148882CC" wp14:editId="540E7804">
            <wp:extent cx="5943600" cy="4272915"/>
            <wp:effectExtent l="0" t="0" r="0" b="0"/>
            <wp:docPr id="158877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9836" name=""/>
                    <pic:cNvPicPr/>
                  </pic:nvPicPr>
                  <pic:blipFill>
                    <a:blip r:embed="rId12"/>
                    <a:stretch>
                      <a:fillRect/>
                    </a:stretch>
                  </pic:blipFill>
                  <pic:spPr>
                    <a:xfrm>
                      <a:off x="0" y="0"/>
                      <a:ext cx="5943600" cy="4272915"/>
                    </a:xfrm>
                    <a:prstGeom prst="rect">
                      <a:avLst/>
                    </a:prstGeom>
                  </pic:spPr>
                </pic:pic>
              </a:graphicData>
            </a:graphic>
          </wp:inline>
        </w:drawing>
      </w:r>
    </w:p>
    <w:p w14:paraId="58E3425E" w14:textId="77777777" w:rsidR="009A6624" w:rsidRDefault="009A6624" w:rsidP="009B6503">
      <w:pPr>
        <w:pStyle w:val="BodyText"/>
        <w:ind w:right="-23"/>
        <w:jc w:val="both"/>
        <w:rPr>
          <w:rFonts w:cs="Calibri"/>
        </w:rPr>
      </w:pPr>
    </w:p>
    <w:p w14:paraId="1806D0C4" w14:textId="77777777" w:rsidR="009A6624" w:rsidRDefault="009A6624" w:rsidP="009B6503">
      <w:pPr>
        <w:pStyle w:val="BodyText"/>
        <w:ind w:right="-23"/>
        <w:jc w:val="both"/>
        <w:rPr>
          <w:rFonts w:cs="Calibri"/>
        </w:rPr>
      </w:pPr>
    </w:p>
    <w:p w14:paraId="151ABDD8" w14:textId="48C6AE45" w:rsidR="009A6624" w:rsidRDefault="00587C5A" w:rsidP="009B6503">
      <w:pPr>
        <w:pStyle w:val="BodyText"/>
        <w:ind w:right="-23"/>
        <w:jc w:val="both"/>
        <w:rPr>
          <w:rFonts w:cs="Calibri"/>
        </w:rPr>
      </w:pPr>
      <w:r>
        <w:rPr>
          <w:rFonts w:cs="Calibri"/>
        </w:rPr>
        <w:lastRenderedPageBreak/>
        <w:t xml:space="preserve">Despite registering a strong post-pandemic recovery, growth </w:t>
      </w:r>
      <w:r w:rsidR="009860BB">
        <w:rPr>
          <w:rFonts w:cs="Calibri"/>
        </w:rPr>
        <w:t>is projected to return to its estimated medium-term potential of approximately 2 percent or below</w:t>
      </w:r>
      <w:r w:rsidR="009860BB">
        <w:rPr>
          <w:rStyle w:val="FootnoteReference"/>
          <w:rFonts w:cs="Calibri"/>
        </w:rPr>
        <w:footnoteReference w:id="2"/>
      </w:r>
      <w:r w:rsidR="009860BB">
        <w:rPr>
          <w:rFonts w:cs="Calibri"/>
        </w:rPr>
        <w:t>. Real GDP expanded by 17.9% in 2021, 8.7% in 2022 and 4.7% in 2023, supported by the rebound in tourism activity, increased construction and continued expansion of the business process outsourcing (BPO) sector</w:t>
      </w:r>
      <w:r w:rsidR="00890AC9">
        <w:rPr>
          <w:rStyle w:val="FootnoteReference"/>
          <w:rFonts w:cs="Calibri"/>
        </w:rPr>
        <w:footnoteReference w:id="3"/>
      </w:r>
      <w:r w:rsidR="009860BB">
        <w:rPr>
          <w:rFonts w:cs="Calibri"/>
        </w:rPr>
        <w:t>. Notwithstanding, the broader growth trend suggests weakening economic dynamism, modest productivity improvements and limited structural transformation.</w:t>
      </w:r>
    </w:p>
    <w:p w14:paraId="151972F3" w14:textId="77777777" w:rsidR="00587C5A" w:rsidRDefault="00587C5A" w:rsidP="009B6503">
      <w:pPr>
        <w:pStyle w:val="BodyText"/>
        <w:ind w:right="-23"/>
        <w:jc w:val="both"/>
        <w:rPr>
          <w:rFonts w:cs="Calibri"/>
        </w:rPr>
      </w:pPr>
    </w:p>
    <w:p w14:paraId="733D5649" w14:textId="4477CABB" w:rsidR="009860BB" w:rsidRDefault="009860BB" w:rsidP="009B6503">
      <w:pPr>
        <w:pStyle w:val="BodyText"/>
        <w:ind w:right="-23"/>
        <w:jc w:val="both"/>
        <w:rPr>
          <w:rFonts w:cs="Calibri"/>
        </w:rPr>
      </w:pPr>
      <w:r>
        <w:rPr>
          <w:rFonts w:cs="Calibri"/>
        </w:rPr>
        <w:t xml:space="preserve">Panel 2 highlights a pronounced deceleration in Belize’s long-run growth trajectory over the past four decades. Average real GDP growth increased from 3.0% during 1980-84 to 10.9% in </w:t>
      </w:r>
      <w:r w:rsidR="002228E9">
        <w:rPr>
          <w:rFonts w:cs="Calibri"/>
        </w:rPr>
        <w:t xml:space="preserve">1985-89, representing the strongest sustained period of expansion in the country’s post-independence history. Growth remained relatively strong during 1990-94, averaging 8.4%, before moderating to 3.9% during 1995-99. Although growth rebounded to 7.4% in 2000-04, this momentum </w:t>
      </w:r>
      <w:r w:rsidR="00492AEC">
        <w:rPr>
          <w:rFonts w:cs="Calibri"/>
        </w:rPr>
        <w:t>was</w:t>
      </w:r>
      <w:r w:rsidR="002228E9">
        <w:rPr>
          <w:rFonts w:cs="Calibri"/>
        </w:rPr>
        <w:t xml:space="preserve"> short lived. From 2005 onward, Belize appears to have transitioned into a structurally lower-growth equilibrium, with average growth declining to 1.6% during 2005-09 and remaining subdued thereafter.</w:t>
      </w:r>
      <w:r w:rsidR="00492AEC">
        <w:rPr>
          <w:rFonts w:cs="Calibri"/>
        </w:rPr>
        <w:t xml:space="preserve"> While average growth recovered to 3.4% during 202-25, this largely reflects the rebound from the pandemic-induced contraction rather than a fundamental strengthening of the economy’s long-term growth potential.</w:t>
      </w:r>
    </w:p>
    <w:p w14:paraId="60751502" w14:textId="77777777" w:rsidR="009860BB" w:rsidRDefault="009860BB" w:rsidP="009B6503">
      <w:pPr>
        <w:pStyle w:val="BodyText"/>
        <w:ind w:right="-23"/>
        <w:jc w:val="both"/>
        <w:rPr>
          <w:rFonts w:cs="Calibri"/>
        </w:rPr>
      </w:pPr>
    </w:p>
    <w:p w14:paraId="3B5CA5F1" w14:textId="6A47CC8F" w:rsidR="00492AEC" w:rsidRDefault="00492AEC" w:rsidP="009B6503">
      <w:pPr>
        <w:pStyle w:val="BodyText"/>
        <w:ind w:right="-23"/>
        <w:jc w:val="both"/>
        <w:rPr>
          <w:rFonts w:cs="Calibri"/>
        </w:rPr>
      </w:pPr>
      <w:r w:rsidRPr="00492AEC">
        <w:rPr>
          <w:rFonts w:cs="Calibri"/>
        </w:rPr>
        <w:t>Overall, the evidence suggests that Belize has moved from a high-growth convergence phase toward a more mature low-growth equilibrium characterized by weaker productivity growth, reduced structural dynamism, and heightened macroeconomic vulnerability. This pattern is consistent with concerns regarding declining total factor productivity, limited export diversification, low investment efficiency, and persistent labour market constraints. These macroeconomic trends have important implications for labour market outcomes, as prolonged periods of weak and volatile growth tend to constrain employment generation, reduce productivity gains, and exacerbate labour market insecurity, particularly among youth, women, and workers concentrated in tourism- and agriculture-dependent sectors. Addressing these structural constraints will require policies aimed at increasing female labour force participation, improving access to finance for small and medium-sized enterprises, strengthening the business environment, and reducing crime.</w:t>
      </w:r>
    </w:p>
    <w:p w14:paraId="313E4D60" w14:textId="6D1EF0D1" w:rsidR="00587C5A" w:rsidDel="004524A5" w:rsidRDefault="00587C5A" w:rsidP="009B6503">
      <w:pPr>
        <w:pStyle w:val="BodyText"/>
        <w:ind w:right="-23"/>
        <w:jc w:val="both"/>
        <w:rPr>
          <w:del w:id="6" w:author="Tommy Descartes" w:date="2026-05-26T14:36:00Z" w16du:dateUtc="2026-05-26T18:36:00Z"/>
          <w:rFonts w:cs="Calibri"/>
        </w:rPr>
      </w:pPr>
    </w:p>
    <w:p w14:paraId="46A72A15" w14:textId="28508BCA" w:rsidR="00505A7A" w:rsidRPr="009A6624" w:rsidRDefault="00505A7A" w:rsidP="009A6624">
      <w:pPr>
        <w:pStyle w:val="Heading2"/>
        <w:rPr>
          <w:rFonts w:ascii="Trebuchet MS" w:hAnsi="Trebuchet MS"/>
          <w:b/>
          <w:bCs/>
          <w:sz w:val="24"/>
          <w:szCs w:val="24"/>
        </w:rPr>
      </w:pPr>
      <w:r w:rsidRPr="009A6624">
        <w:rPr>
          <w:rFonts w:ascii="Trebuchet MS" w:hAnsi="Trebuchet MS"/>
          <w:b/>
          <w:bCs/>
          <w:sz w:val="24"/>
          <w:szCs w:val="24"/>
        </w:rPr>
        <w:t xml:space="preserve">Sectoral </w:t>
      </w:r>
      <w:r w:rsidR="00492AEC">
        <w:rPr>
          <w:rFonts w:ascii="Trebuchet MS" w:hAnsi="Trebuchet MS"/>
          <w:b/>
          <w:bCs/>
          <w:sz w:val="24"/>
          <w:szCs w:val="24"/>
        </w:rPr>
        <w:t>Performance</w:t>
      </w:r>
    </w:p>
    <w:p w14:paraId="27C78C75" w14:textId="77777777" w:rsidR="00505A7A" w:rsidRPr="009A6624" w:rsidRDefault="00505A7A" w:rsidP="009B6503">
      <w:pPr>
        <w:pStyle w:val="BodyText"/>
        <w:ind w:right="-23"/>
        <w:jc w:val="both"/>
        <w:rPr>
          <w:rFonts w:cs="Calibri"/>
          <w:b/>
          <w:bCs/>
        </w:rPr>
      </w:pPr>
    </w:p>
    <w:p w14:paraId="0F657004" w14:textId="1D7B3D25" w:rsidR="00CA4CD6" w:rsidRDefault="00665495" w:rsidP="009B6503">
      <w:pPr>
        <w:pStyle w:val="BodyText"/>
        <w:ind w:right="4"/>
        <w:jc w:val="both"/>
        <w:rPr>
          <w:rFonts w:cs="Calibri"/>
        </w:rPr>
      </w:pPr>
      <w:commentRangeStart w:id="7"/>
      <w:r w:rsidRPr="00BC51AF">
        <w:rPr>
          <w:rFonts w:cs="Calibri"/>
          <w:highlight w:val="yellow"/>
        </w:rPr>
        <w:t>T</w:t>
      </w:r>
      <w:r w:rsidR="00F60878" w:rsidRPr="00BC51AF">
        <w:rPr>
          <w:rFonts w:cs="Calibri"/>
          <w:highlight w:val="yellow"/>
        </w:rPr>
        <w:t>he development of tourism services in</w:t>
      </w:r>
      <w:r w:rsidR="009B6503" w:rsidRPr="00BC51AF">
        <w:rPr>
          <w:rFonts w:cs="Calibri"/>
          <w:highlight w:val="yellow"/>
        </w:rPr>
        <w:t xml:space="preserve"> Belize</w:t>
      </w:r>
      <w:r w:rsidR="00F60878" w:rsidRPr="00BC51AF">
        <w:rPr>
          <w:rFonts w:cs="Calibri"/>
          <w:highlight w:val="yellow"/>
        </w:rPr>
        <w:t xml:space="preserve"> has contributed </w:t>
      </w:r>
      <w:r w:rsidR="00CA4CD6" w:rsidRPr="00BC51AF">
        <w:rPr>
          <w:rFonts w:cs="Calibri"/>
          <w:highlight w:val="yellow"/>
        </w:rPr>
        <w:t xml:space="preserve">significantly </w:t>
      </w:r>
      <w:r w:rsidR="00F60878" w:rsidRPr="00BC51AF">
        <w:rPr>
          <w:rFonts w:cs="Calibri"/>
          <w:highlight w:val="yellow"/>
        </w:rPr>
        <w:t>to</w:t>
      </w:r>
      <w:r w:rsidRPr="00BC51AF">
        <w:rPr>
          <w:rFonts w:cs="Calibri"/>
          <w:highlight w:val="yellow"/>
        </w:rPr>
        <w:t xml:space="preserve"> the country’s</w:t>
      </w:r>
      <w:r w:rsidR="00F60878" w:rsidRPr="00BC51AF">
        <w:rPr>
          <w:rFonts w:cs="Calibri"/>
          <w:highlight w:val="yellow"/>
        </w:rPr>
        <w:t xml:space="preserve"> </w:t>
      </w:r>
      <w:r w:rsidR="00CA4CD6" w:rsidRPr="00BC51AF">
        <w:rPr>
          <w:rFonts w:cs="Calibri"/>
          <w:highlight w:val="yellow"/>
        </w:rPr>
        <w:t xml:space="preserve">economic </w:t>
      </w:r>
      <w:r w:rsidR="00F60878" w:rsidRPr="00BC51AF">
        <w:rPr>
          <w:rFonts w:cs="Calibri"/>
          <w:highlight w:val="yellow"/>
        </w:rPr>
        <w:t>diversification</w:t>
      </w:r>
      <w:r w:rsidRPr="00BC51AF">
        <w:rPr>
          <w:rFonts w:cs="Calibri"/>
          <w:highlight w:val="yellow"/>
        </w:rPr>
        <w:t xml:space="preserve"> efforts.</w:t>
      </w:r>
      <w:r w:rsidR="006A2DFB" w:rsidRPr="00512DCB">
        <w:rPr>
          <w:rFonts w:cs="Calibri"/>
        </w:rPr>
        <w:t xml:space="preserve"> </w:t>
      </w:r>
      <w:commentRangeEnd w:id="7"/>
      <w:r w:rsidR="004524A5">
        <w:rPr>
          <w:rStyle w:val="CommentReference"/>
          <w:rFonts w:cs="Calibri"/>
          <w:sz w:val="22"/>
          <w:szCs w:val="22"/>
        </w:rPr>
        <w:commentReference w:id="7"/>
      </w:r>
      <w:r w:rsidR="00CA4CD6">
        <w:rPr>
          <w:rFonts w:cs="Calibri"/>
        </w:rPr>
        <w:t>Over time, however, t</w:t>
      </w:r>
      <w:r w:rsidR="00542A41" w:rsidRPr="00512DCB">
        <w:rPr>
          <w:rFonts w:cs="Calibri"/>
        </w:rPr>
        <w:t xml:space="preserve">he </w:t>
      </w:r>
      <w:r w:rsidR="009B6503" w:rsidRPr="00512DCB">
        <w:rPr>
          <w:rFonts w:cs="Calibri"/>
        </w:rPr>
        <w:t>economy</w:t>
      </w:r>
      <w:r w:rsidR="00CA4CD6">
        <w:rPr>
          <w:rFonts w:cs="Calibri"/>
        </w:rPr>
        <w:t xml:space="preserve"> </w:t>
      </w:r>
      <w:r w:rsidR="009B6503" w:rsidRPr="00512DCB">
        <w:rPr>
          <w:rFonts w:cs="Calibri"/>
        </w:rPr>
        <w:t>has become increasingly concentrated in tourism-related activities</w:t>
      </w:r>
      <w:r w:rsidR="00CA4CD6">
        <w:rPr>
          <w:rFonts w:cs="Calibri"/>
        </w:rPr>
        <w:t xml:space="preserve">, </w:t>
      </w:r>
      <w:r w:rsidR="006A2DFB" w:rsidRPr="00F858A5">
        <w:rPr>
          <w:rFonts w:cs="Calibri"/>
        </w:rPr>
        <w:t>p</w:t>
      </w:r>
      <w:r w:rsidR="00542A41" w:rsidRPr="00F858A5">
        <w:rPr>
          <w:rFonts w:cs="Calibri"/>
        </w:rPr>
        <w:t>osition</w:t>
      </w:r>
      <w:r w:rsidR="00CA4CD6">
        <w:rPr>
          <w:rFonts w:cs="Calibri"/>
        </w:rPr>
        <w:t>ing</w:t>
      </w:r>
      <w:r w:rsidR="006A2DFB" w:rsidRPr="00F858A5">
        <w:rPr>
          <w:rFonts w:cs="Calibri"/>
        </w:rPr>
        <w:t xml:space="preserve"> the</w:t>
      </w:r>
      <w:r w:rsidR="009B6503" w:rsidRPr="00F858A5">
        <w:rPr>
          <w:rFonts w:cs="Calibri"/>
        </w:rPr>
        <w:t xml:space="preserve"> sector</w:t>
      </w:r>
      <w:r w:rsidR="006A2DFB" w:rsidRPr="00F858A5">
        <w:rPr>
          <w:rFonts w:cs="Calibri"/>
        </w:rPr>
        <w:t xml:space="preserve"> as a </w:t>
      </w:r>
      <w:r w:rsidR="00CA4CD6">
        <w:rPr>
          <w:rFonts w:cs="Calibri"/>
        </w:rPr>
        <w:t>principal</w:t>
      </w:r>
      <w:r w:rsidR="009B6503" w:rsidRPr="00F858A5">
        <w:rPr>
          <w:rFonts w:cs="Calibri"/>
        </w:rPr>
        <w:t xml:space="preserve"> driver of economic </w:t>
      </w:r>
      <w:r w:rsidR="007F3358">
        <w:rPr>
          <w:rFonts w:cs="Calibri"/>
        </w:rPr>
        <w:t>growth</w:t>
      </w:r>
      <w:r w:rsidR="009B6503" w:rsidRPr="00F858A5">
        <w:rPr>
          <w:rFonts w:cs="Calibri"/>
        </w:rPr>
        <w:t>, employment, and foreign exchange earnings</w:t>
      </w:r>
      <w:r w:rsidR="00CA4CD6">
        <w:rPr>
          <w:rFonts w:cs="Calibri"/>
        </w:rPr>
        <w:t>. This high degree of tourism dependence increases Belize’s exposure to business cycle fluctuations and external demand shocks in major source markets, particularly the United States (US) and the European Union (EU).</w:t>
      </w:r>
    </w:p>
    <w:p w14:paraId="548CA3B6" w14:textId="77777777" w:rsidR="00CA4CD6" w:rsidRDefault="00CA4CD6" w:rsidP="009B6503">
      <w:pPr>
        <w:pStyle w:val="BodyText"/>
        <w:ind w:right="4"/>
        <w:jc w:val="both"/>
        <w:rPr>
          <w:rFonts w:cs="Calibri"/>
        </w:rPr>
      </w:pPr>
    </w:p>
    <w:p w14:paraId="563F9D91" w14:textId="0E6B328D" w:rsidR="00BB05D4" w:rsidRDefault="00AD5CA3" w:rsidP="00BB05D4">
      <w:pPr>
        <w:pStyle w:val="BodyText"/>
        <w:ind w:right="4"/>
        <w:jc w:val="both"/>
        <w:rPr>
          <w:rFonts w:cs="Calibri"/>
        </w:rPr>
      </w:pPr>
      <w:r w:rsidRPr="00BC51AF">
        <w:rPr>
          <w:rFonts w:cs="Calibri"/>
          <w:highlight w:val="yellow"/>
        </w:rPr>
        <w:t xml:space="preserve">The rapid expansion of tourism has significantly reshaped </w:t>
      </w:r>
      <w:r w:rsidR="00CB3548" w:rsidRPr="00BC51AF">
        <w:rPr>
          <w:rFonts w:cs="Calibri"/>
          <w:highlight w:val="yellow"/>
        </w:rPr>
        <w:t xml:space="preserve">the </w:t>
      </w:r>
      <w:r w:rsidRPr="00BC51AF">
        <w:rPr>
          <w:rFonts w:cs="Calibri"/>
          <w:highlight w:val="yellow"/>
        </w:rPr>
        <w:t>economic landscape of Belize over the past two decades.</w:t>
      </w:r>
      <w:r>
        <w:rPr>
          <w:rFonts w:cs="Calibri"/>
        </w:rPr>
        <w:t xml:space="preserve"> </w:t>
      </w:r>
      <w:commentRangeStart w:id="8"/>
      <w:r>
        <w:rPr>
          <w:rFonts w:cs="Calibri"/>
        </w:rPr>
        <w:t xml:space="preserve">Estimates from the </w:t>
      </w:r>
      <w:r w:rsidR="009B6503" w:rsidRPr="00512DCB">
        <w:rPr>
          <w:rFonts w:cs="Calibri"/>
        </w:rPr>
        <w:t>World Travel and Tourism Council (WTTC)</w:t>
      </w:r>
      <w:r>
        <w:rPr>
          <w:rFonts w:cs="Calibri"/>
        </w:rPr>
        <w:t xml:space="preserve"> indicate that the sector </w:t>
      </w:r>
      <w:r w:rsidR="009B6503" w:rsidRPr="00512DCB">
        <w:rPr>
          <w:rFonts w:cs="Calibri"/>
        </w:rPr>
        <w:t xml:space="preserve">directly and indirectly accounted for </w:t>
      </w:r>
      <w:r>
        <w:rPr>
          <w:rFonts w:cs="Calibri"/>
        </w:rPr>
        <w:t>approximately</w:t>
      </w:r>
      <w:r w:rsidR="009B6503" w:rsidRPr="00512DCB">
        <w:rPr>
          <w:rFonts w:cs="Calibri"/>
        </w:rPr>
        <w:t xml:space="preserve"> 44.4% of GDP in</w:t>
      </w:r>
      <w:r>
        <w:rPr>
          <w:rFonts w:cs="Calibri"/>
        </w:rPr>
        <w:t xml:space="preserve"> both</w:t>
      </w:r>
      <w:r w:rsidR="009B6503" w:rsidRPr="00512DCB">
        <w:rPr>
          <w:rFonts w:cs="Calibri"/>
        </w:rPr>
        <w:t xml:space="preserve"> </w:t>
      </w:r>
      <w:r w:rsidR="007F3358">
        <w:rPr>
          <w:rFonts w:cs="Calibri"/>
        </w:rPr>
        <w:t xml:space="preserve">2024 and </w:t>
      </w:r>
      <w:r w:rsidR="009B6503" w:rsidRPr="00512DCB">
        <w:rPr>
          <w:rFonts w:cs="Calibri"/>
        </w:rPr>
        <w:t>2025 and is projected to increase to approximately 53.7% by 2035.</w:t>
      </w:r>
      <w:commentRangeEnd w:id="8"/>
      <w:r w:rsidR="004524A5">
        <w:rPr>
          <w:rStyle w:val="CommentReference"/>
          <w:rFonts w:cs="Calibri"/>
          <w:sz w:val="22"/>
          <w:szCs w:val="22"/>
        </w:rPr>
        <w:commentReference w:id="8"/>
      </w:r>
      <w:r>
        <w:rPr>
          <w:rFonts w:cs="Calibri"/>
        </w:rPr>
        <w:t xml:space="preserve"> </w:t>
      </w:r>
      <w:r w:rsidR="009B6503" w:rsidRPr="00512DCB">
        <w:rPr>
          <w:rFonts w:cs="Calibri"/>
        </w:rPr>
        <w:t>T</w:t>
      </w:r>
      <w:r w:rsidR="00BB05D4">
        <w:rPr>
          <w:rFonts w:cs="Calibri"/>
        </w:rPr>
        <w:t>ourism</w:t>
      </w:r>
      <w:r w:rsidR="009B6503" w:rsidRPr="00512DCB">
        <w:rPr>
          <w:rFonts w:cs="Calibri"/>
        </w:rPr>
        <w:t xml:space="preserve"> and </w:t>
      </w:r>
      <w:r w:rsidR="009B6503" w:rsidRPr="00512DCB">
        <w:rPr>
          <w:rFonts w:cs="Calibri"/>
        </w:rPr>
        <w:lastRenderedPageBreak/>
        <w:t xml:space="preserve">its </w:t>
      </w:r>
      <w:r w:rsidR="009B6503" w:rsidRPr="00F858A5">
        <w:rPr>
          <w:rFonts w:cs="Calibri"/>
        </w:rPr>
        <w:t>ancillary services</w:t>
      </w:r>
      <w:r w:rsidR="009B6503" w:rsidRPr="00512DCB">
        <w:rPr>
          <w:rFonts w:cs="Calibri"/>
        </w:rPr>
        <w:t xml:space="preserve"> are </w:t>
      </w:r>
      <w:r w:rsidR="00F858A5">
        <w:rPr>
          <w:rFonts w:cs="Calibri"/>
        </w:rPr>
        <w:t>projected</w:t>
      </w:r>
      <w:r w:rsidR="009B6503" w:rsidRPr="00512DCB">
        <w:rPr>
          <w:rFonts w:cs="Calibri"/>
        </w:rPr>
        <w:t xml:space="preserve"> to </w:t>
      </w:r>
      <w:r w:rsidR="006A2DFB" w:rsidRPr="00512DCB">
        <w:rPr>
          <w:rFonts w:cs="Calibri"/>
        </w:rPr>
        <w:t>h</w:t>
      </w:r>
      <w:r w:rsidR="00F858A5">
        <w:rPr>
          <w:rFonts w:cs="Calibri"/>
        </w:rPr>
        <w:t xml:space="preserve">ave </w:t>
      </w:r>
      <w:r w:rsidR="009577D1">
        <w:rPr>
          <w:rFonts w:cs="Calibri"/>
        </w:rPr>
        <w:t>created</w:t>
      </w:r>
      <w:r w:rsidR="009B6503" w:rsidRPr="00512DCB">
        <w:rPr>
          <w:rFonts w:cs="Calibri"/>
        </w:rPr>
        <w:t xml:space="preserve"> </w:t>
      </w:r>
      <w:r w:rsidR="009577D1">
        <w:rPr>
          <w:rFonts w:cs="Calibri"/>
        </w:rPr>
        <w:t xml:space="preserve">approximately </w:t>
      </w:r>
      <w:r w:rsidR="009B6503" w:rsidRPr="00512DCB">
        <w:rPr>
          <w:rFonts w:cs="Calibri"/>
        </w:rPr>
        <w:t>67,900 jobs</w:t>
      </w:r>
      <w:r w:rsidR="006A2DFB" w:rsidRPr="00512DCB">
        <w:rPr>
          <w:rFonts w:cs="Calibri"/>
        </w:rPr>
        <w:t xml:space="preserve"> </w:t>
      </w:r>
      <w:r w:rsidR="007F3358">
        <w:rPr>
          <w:rFonts w:cs="Calibri"/>
        </w:rPr>
        <w:t>over the same period</w:t>
      </w:r>
      <w:r w:rsidR="009B6503" w:rsidRPr="00512DCB">
        <w:rPr>
          <w:rFonts w:cs="Calibri"/>
        </w:rPr>
        <w:t>, equivalent to 42.8% of total employment, underscoring Belize’s high degree of tourism dependence</w:t>
      </w:r>
      <w:r w:rsidR="00764D18" w:rsidRPr="00BB05D4">
        <w:rPr>
          <w:rStyle w:val="FootnoteReference"/>
          <w:rFonts w:cs="Calibri"/>
        </w:rPr>
        <w:footnoteReference w:id="4"/>
      </w:r>
      <w:r w:rsidR="009B6503" w:rsidRPr="00BB05D4">
        <w:rPr>
          <w:rFonts w:cs="Calibri"/>
        </w:rPr>
        <w:t>.</w:t>
      </w:r>
      <w:r w:rsidR="00BB05D4" w:rsidRPr="00BB05D4">
        <w:rPr>
          <w:rFonts w:cs="Calibri"/>
        </w:rPr>
        <w:t xml:space="preserve"> In contrast, the agricultural sector, while critical for rural livelihoods, its contribution to economic activity has declined over time, falling from 13.0% in 2001 to an estimated 7.9% of GDP in 2024.</w:t>
      </w:r>
    </w:p>
    <w:p w14:paraId="00881D34" w14:textId="77777777" w:rsidR="00BB05D4" w:rsidRDefault="00BB05D4"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9"/>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9"/>
      <w:r w:rsidR="004524A5" w:rsidRPr="000125FC">
        <w:rPr>
          <w:rStyle w:val="CommentReference"/>
          <w:rFonts w:cs="Calibri"/>
          <w:sz w:val="22"/>
          <w:szCs w:val="22"/>
        </w:rPr>
        <w:commentReference w:id="9"/>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6B1CF9EB" w14:textId="4CE44DE6" w:rsidR="00AA5109" w:rsidRPr="00BC51AF" w:rsidRDefault="00AA5109" w:rsidP="009B6503">
      <w:pPr>
        <w:pStyle w:val="BodyText"/>
        <w:ind w:right="4"/>
        <w:jc w:val="both"/>
        <w:rPr>
          <w:rFonts w:cs="Calibri"/>
          <w:b/>
          <w:bCs/>
        </w:rPr>
      </w:pPr>
      <w:r w:rsidRPr="00BC51AF">
        <w:rPr>
          <w:rFonts w:cs="Calibri"/>
          <w:b/>
          <w:bCs/>
        </w:rPr>
        <w:t>Include share graph..</w:t>
      </w:r>
      <w:r>
        <w:rPr>
          <w:rFonts w:cs="Calibri"/>
          <w:b/>
          <w:bCs/>
        </w:rPr>
        <w:t>(Admin and BPO services)..</w:t>
      </w:r>
    </w:p>
    <w:p w14:paraId="14601696" w14:textId="6B48BAAE" w:rsidR="00A51ED1" w:rsidRPr="009A6624" w:rsidRDefault="00A51ED1" w:rsidP="009A6624">
      <w:pPr>
        <w:pStyle w:val="Heading2"/>
        <w:rPr>
          <w:rFonts w:ascii="Trebuchet MS" w:hAnsi="Trebuchet MS"/>
          <w:b/>
          <w:bCs/>
        </w:rPr>
      </w:pPr>
      <w:r w:rsidRPr="009A6624">
        <w:rPr>
          <w:rFonts w:ascii="Trebuchet MS" w:hAnsi="Trebuchet MS"/>
          <w:b/>
          <w:bCs/>
          <w:sz w:val="24"/>
          <w:szCs w:val="24"/>
        </w:rPr>
        <w:t>Productivity</w:t>
      </w:r>
      <w:r w:rsidR="009E5418" w:rsidRPr="009A6624">
        <w:rPr>
          <w:rFonts w:ascii="Trebuchet MS" w:hAnsi="Trebuchet MS"/>
          <w:b/>
          <w:bCs/>
          <w:sz w:val="24"/>
          <w:szCs w:val="24"/>
        </w:rPr>
        <w:t xml:space="preserve"> Analysis</w:t>
      </w:r>
    </w:p>
    <w:p w14:paraId="710A7F43" w14:textId="2928916F" w:rsidR="00984855" w:rsidRDefault="00CC5C70" w:rsidP="009B6503">
      <w:pPr>
        <w:pStyle w:val="BodyText"/>
        <w:ind w:right="4"/>
        <w:jc w:val="both"/>
        <w:rPr>
          <w:rFonts w:cs="Calibri"/>
        </w:rPr>
      </w:pPr>
      <w:r>
        <w:rPr>
          <w:rFonts w:cs="Calibri"/>
        </w:rPr>
        <w:t>The factors that contributed to economic growth in Belize over the past three decades have gradually changed. During the 1991-1995 period, economic growth was driven primarily by physical capital accumulation, which contributed approximately 3.5 percentage points to annual GDP growth</w:t>
      </w:r>
      <w:r w:rsidR="00F512BA">
        <w:rPr>
          <w:rFonts w:cs="Calibri"/>
        </w:rPr>
        <w:t xml:space="preserve"> (Figure 2)</w:t>
      </w:r>
      <w:r>
        <w:rPr>
          <w:rFonts w:cs="Calibri"/>
        </w:rPr>
        <w:t>. This reflects investments in tourism infrastructure, utilities and construction activity during the early expansion of the Belizean economy. Labour and human capital made relatively modest contributions, while total factor productivity (TFP) also provided a positive boost, suggesting gains in efficie</w:t>
      </w:r>
      <w:r w:rsidR="00F512BA">
        <w:rPr>
          <w:rFonts w:cs="Calibri"/>
        </w:rPr>
        <w:t>ncy and structural modernization.</w:t>
      </w:r>
    </w:p>
    <w:p w14:paraId="573DE3D6" w14:textId="77777777" w:rsidR="00F512BA" w:rsidRDefault="00F512BA" w:rsidP="009B6503">
      <w:pPr>
        <w:pStyle w:val="BodyText"/>
        <w:ind w:right="4"/>
        <w:jc w:val="both"/>
        <w:rPr>
          <w:rFonts w:cs="Calibri"/>
        </w:rPr>
      </w:pPr>
    </w:p>
    <w:p w14:paraId="166E31B2" w14:textId="42AFF75F" w:rsidR="00F512BA" w:rsidRPr="00CC5C70" w:rsidRDefault="00F512BA" w:rsidP="009B6503">
      <w:pPr>
        <w:pStyle w:val="BodyText"/>
        <w:ind w:right="4"/>
        <w:jc w:val="both"/>
        <w:rPr>
          <w:rFonts w:cs="Calibri"/>
          <w:b/>
          <w:bCs/>
        </w:rPr>
      </w:pPr>
      <w:r>
        <w:rPr>
          <w:rFonts w:cs="Calibri"/>
        </w:rPr>
        <w:t>Between 1996 and 2005, Belize experienced a more balanced growth structure. Although capital accumulation remained the dominant source of growth, labour contributions increased significantly, particularly during 1996-2000 and 2001-2005. This period may have coincided with strong labour absorption associated with the expansion of the tourism sector, agricultural activity, public sector growth and broader service sector development. Human capital also contributed positively, though its impact remained comparatively small, indicating that improvements in educational attainment and workforce quality have been gradual. Importantly, TFP remained positive during much of this period, implying that Belize was benefiting not only from factor accumulation but also from improvements in productivity efficiency and better economic organization.</w:t>
      </w:r>
    </w:p>
    <w:p w14:paraId="0DBBFD10" w14:textId="77777777" w:rsidR="009B6503" w:rsidRDefault="009B6503" w:rsidP="009B6503">
      <w:pPr>
        <w:pStyle w:val="BodyText"/>
        <w:ind w:right="-23"/>
        <w:jc w:val="both"/>
        <w:rPr>
          <w:rFonts w:cs="Calibri"/>
        </w:rPr>
      </w:pPr>
    </w:p>
    <w:p w14:paraId="1C0B4500" w14:textId="77777777" w:rsidR="00CC5C70" w:rsidRPr="000F65F2" w:rsidRDefault="00DE0B76" w:rsidP="00CC5C70">
      <w:pPr>
        <w:pStyle w:val="Caption"/>
        <w:keepNext/>
        <w:spacing w:after="0"/>
        <w:jc w:val="center"/>
        <w:rPr>
          <w:b/>
          <w:bCs/>
          <w:i w:val="0"/>
          <w:iCs w:val="0"/>
          <w:sz w:val="22"/>
          <w:szCs w:val="22"/>
        </w:rPr>
      </w:pPr>
      <w:commentRangeStart w:id="10"/>
      <w:r w:rsidRPr="000F65F2">
        <w:rPr>
          <w:b/>
          <w:bCs/>
          <w:i w:val="0"/>
          <w:iCs w:val="0"/>
          <w:sz w:val="22"/>
          <w:szCs w:val="22"/>
        </w:rPr>
        <w:lastRenderedPageBreak/>
        <w:t xml:space="preserve">Figure </w:t>
      </w:r>
      <w:r w:rsidRPr="000F65F2">
        <w:rPr>
          <w:b/>
          <w:bCs/>
          <w:i w:val="0"/>
          <w:iCs w:val="0"/>
          <w:sz w:val="22"/>
          <w:szCs w:val="22"/>
        </w:rPr>
        <w:fldChar w:fldCharType="begin"/>
      </w:r>
      <w:r w:rsidRPr="000F65F2">
        <w:rPr>
          <w:b/>
          <w:bCs/>
          <w:i w:val="0"/>
          <w:iCs w:val="0"/>
          <w:sz w:val="22"/>
          <w:szCs w:val="22"/>
        </w:rPr>
        <w:instrText xml:space="preserve"> SEQ Figure \* ARABIC </w:instrText>
      </w:r>
      <w:r w:rsidRPr="000F65F2">
        <w:rPr>
          <w:b/>
          <w:bCs/>
          <w:i w:val="0"/>
          <w:iCs w:val="0"/>
          <w:sz w:val="22"/>
          <w:szCs w:val="22"/>
        </w:rPr>
        <w:fldChar w:fldCharType="separate"/>
      </w:r>
      <w:r w:rsidRPr="000F65F2">
        <w:rPr>
          <w:b/>
          <w:bCs/>
          <w:i w:val="0"/>
          <w:iCs w:val="0"/>
          <w:noProof/>
          <w:sz w:val="22"/>
          <w:szCs w:val="22"/>
        </w:rPr>
        <w:t>2</w:t>
      </w:r>
      <w:r w:rsidRPr="000F65F2">
        <w:rPr>
          <w:b/>
          <w:bCs/>
          <w:i w:val="0"/>
          <w:iCs w:val="0"/>
          <w:sz w:val="22"/>
          <w:szCs w:val="22"/>
        </w:rPr>
        <w:fldChar w:fldCharType="end"/>
      </w:r>
      <w:r w:rsidRPr="000F65F2">
        <w:rPr>
          <w:b/>
          <w:bCs/>
          <w:i w:val="0"/>
          <w:iCs w:val="0"/>
          <w:sz w:val="22"/>
          <w:szCs w:val="22"/>
        </w:rPr>
        <w:t xml:space="preserve">: </w:t>
      </w:r>
    </w:p>
    <w:p w14:paraId="7245E815" w14:textId="211E220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(Avg. Annual Contribution to Real GDP)</w:t>
      </w:r>
      <w:commentRangeEnd w:id="10"/>
      <w:r w:rsidR="004524A5" w:rsidRPr="000F65F2">
        <w:rPr>
          <w:rStyle w:val="CommentReference"/>
          <w:b/>
          <w:bCs/>
          <w:i w:val="0"/>
          <w:iCs w:val="0"/>
          <w:sz w:val="22"/>
          <w:szCs w:val="22"/>
        </w:rPr>
        <w:commentReference w:id="10"/>
      </w:r>
    </w:p>
    <w:p w14:paraId="65F8C7D0" w14:textId="35C4B249" w:rsidR="00DE0B76" w:rsidRDefault="00CC5C70" w:rsidP="009B6503">
      <w:pPr>
        <w:pStyle w:val="BodyText"/>
        <w:ind w:right="-23"/>
        <w:jc w:val="both"/>
        <w:rPr>
          <w:rFonts w:cs="Calibri"/>
        </w:rPr>
      </w:pPr>
      <w:commentRangeStart w:id="11"/>
      <w:r w:rsidRPr="00CC5C70">
        <w:rPr>
          <w:rFonts w:cs="Calibri"/>
          <w:noProof/>
        </w:rPr>
        <w:drawing>
          <wp:inline distT="0" distB="0" distL="0" distR="0" wp14:anchorId="55F8649F" wp14:editId="78785BD2">
            <wp:extent cx="5943600" cy="4211955"/>
            <wp:effectExtent l="0" t="0" r="0" b="0"/>
            <wp:docPr id="20117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94456" name=""/>
                    <pic:cNvPicPr/>
                  </pic:nvPicPr>
                  <pic:blipFill>
                    <a:blip r:embed="rId13"/>
                    <a:stretch>
                      <a:fillRect/>
                    </a:stretch>
                  </pic:blipFill>
                  <pic:spPr>
                    <a:xfrm>
                      <a:off x="0" y="0"/>
                      <a:ext cx="5943600" cy="4211955"/>
                    </a:xfrm>
                    <a:prstGeom prst="rect">
                      <a:avLst/>
                    </a:prstGeom>
                  </pic:spPr>
                </pic:pic>
              </a:graphicData>
            </a:graphic>
          </wp:inline>
        </w:drawing>
      </w:r>
      <w:commentRangeEnd w:id="11"/>
      <w:r w:rsidR="004524A5">
        <w:rPr>
          <w:rStyle w:val="CommentReference"/>
          <w:rFonts w:cs="Calibri"/>
          <w:sz w:val="22"/>
          <w:szCs w:val="22"/>
        </w:rPr>
        <w:commentReference w:id="11"/>
      </w:r>
    </w:p>
    <w:p w14:paraId="6E1914CD" w14:textId="77777777" w:rsidR="00F512BA" w:rsidRDefault="00F512BA" w:rsidP="009B6503">
      <w:pPr>
        <w:pStyle w:val="BodyText"/>
        <w:ind w:right="-23"/>
        <w:jc w:val="both"/>
        <w:rPr>
          <w:rFonts w:cs="Calibri"/>
        </w:rPr>
      </w:pPr>
    </w:p>
    <w:p w14:paraId="52B3357F" w14:textId="2A1491C5" w:rsidR="00F512BA" w:rsidRDefault="00F512BA" w:rsidP="009B6503">
      <w:pPr>
        <w:pStyle w:val="BodyText"/>
        <w:ind w:right="-23"/>
        <w:jc w:val="both"/>
        <w:rPr>
          <w:rFonts w:cs="Calibri"/>
        </w:rPr>
      </w:pPr>
      <w:r>
        <w:rPr>
          <w:rFonts w:cs="Calibri"/>
        </w:rPr>
        <w:t>A notable structural shift emerged after 2005. During 2006-2010</w:t>
      </w:r>
      <w:r w:rsidR="00B93A43">
        <w:rPr>
          <w:rFonts w:cs="Calibri"/>
        </w:rPr>
        <w:t xml:space="preserve"> and again in 2016-2019, TFP became strongly negative and acted as a drag on economic growth. This suggests that despite continued increase in labour and capital input,</w:t>
      </w:r>
      <w:r w:rsidR="00067EB5">
        <w:rPr>
          <w:rFonts w:cs="Calibri"/>
        </w:rPr>
        <w:t xml:space="preserve"> </w:t>
      </w:r>
      <w:r w:rsidR="00B93A43">
        <w:rPr>
          <w:rFonts w:cs="Calibri"/>
        </w:rPr>
        <w:t xml:space="preserve"> the efficiency with which  these factors were utilized reduced. The findings may reflect several structural constraints facing Belize, including low productivity growth, weak technological diffusion, infrastructure bottlenecks, institutional inefficiencies, </w:t>
      </w:r>
      <w:r w:rsidR="00B93A43" w:rsidRPr="00BC51AF">
        <w:rPr>
          <w:rFonts w:cs="Calibri"/>
          <w:highlight w:val="yellow"/>
        </w:rPr>
        <w:t>rising economic informality</w:t>
      </w:r>
      <w:r w:rsidR="00B93A43">
        <w:rPr>
          <w:rFonts w:cs="Calibri"/>
        </w:rPr>
        <w:t>, increase exposure to external shocks and the increase concentration of the economy in relatively low-productivity service activities. The negative TFP contribution implies that Belize increasingly relied on extensive growth, that is, adding more labour and capital units, rather than intensive growth through sustained productivity improvements.</w:t>
      </w:r>
    </w:p>
    <w:p w14:paraId="3743B2E7" w14:textId="77777777" w:rsidR="00BE6C06" w:rsidRDefault="00BE6C06" w:rsidP="009B6503">
      <w:pPr>
        <w:pStyle w:val="BodyText"/>
        <w:ind w:right="-23"/>
        <w:jc w:val="both"/>
        <w:rPr>
          <w:rFonts w:cs="Calibri"/>
        </w:rPr>
      </w:pPr>
    </w:p>
    <w:p w14:paraId="42D29B04" w14:textId="6AB43E1D" w:rsidR="00BE6C06" w:rsidRDefault="00BE6C06" w:rsidP="009B6503">
      <w:pPr>
        <w:pStyle w:val="BodyText"/>
        <w:ind w:right="-23"/>
        <w:jc w:val="both"/>
        <w:rPr>
          <w:rFonts w:cs="Calibri"/>
        </w:rPr>
      </w:pPr>
      <w:r w:rsidRPr="00BE6C06">
        <w:rPr>
          <w:rFonts w:cs="Calibri"/>
        </w:rPr>
        <w:t>The decomposition also highlights the relatively limited contribution of human capital across all periods. While human capital consistently contributed positively to growth, its magnitude remained small compared to physical capital and labour. This finding suggests that Belize may not yet be fully leveraging education, skills upgrading, and workforce productivity enhancements as major engines of long-run growth. The weak human capital contribution is particularly important in the context of persistent gender gaps, labour market informality, and skills mismatches, all of which may constrain productivity growth and economic diversification.</w:t>
      </w:r>
    </w:p>
    <w:p w14:paraId="1C686EDB" w14:textId="77777777" w:rsidR="00BE6C06" w:rsidRDefault="00BE6C06" w:rsidP="009B6503">
      <w:pPr>
        <w:pStyle w:val="BodyText"/>
        <w:ind w:right="-23"/>
        <w:jc w:val="both"/>
        <w:rPr>
          <w:rFonts w:cs="Calibri"/>
        </w:rPr>
      </w:pPr>
    </w:p>
    <w:p w14:paraId="6482D9B2" w14:textId="53D13147" w:rsidR="00BE6C06" w:rsidRDefault="00BE6C06" w:rsidP="009B6503">
      <w:pPr>
        <w:pStyle w:val="BodyText"/>
        <w:ind w:right="-23"/>
        <w:jc w:val="both"/>
        <w:rPr>
          <w:rFonts w:cs="Calibri"/>
        </w:rPr>
      </w:pPr>
      <w:r w:rsidRPr="00BE6C06">
        <w:rPr>
          <w:rFonts w:cs="Calibri"/>
        </w:rPr>
        <w:t xml:space="preserve">The 2020–2023 period reflects the extraordinary disruptions associated with the COVID-19 pandemic and the subsequent recovery. Despite severe economic contraction during 2020, the </w:t>
      </w:r>
      <w:r w:rsidRPr="00BE6C06">
        <w:rPr>
          <w:rFonts w:cs="Calibri"/>
        </w:rPr>
        <w:lastRenderedPageBreak/>
        <w:t>average period still shows positive contributions from capital and labour, reflecting the rapid rebound in tourism, employment recovery, and post-pandemic investment activity. TFP appears close to neutral over this period, suggesting that the recovery was driven more by cyclical reopening effects than by deeper productivity-enhancing structural transformation.</w:t>
      </w:r>
    </w:p>
    <w:p w14:paraId="4838036A" w14:textId="77777777" w:rsidR="00F512BA" w:rsidRDefault="00F512BA" w:rsidP="009B6503">
      <w:pPr>
        <w:pStyle w:val="BodyText"/>
        <w:ind w:right="-23"/>
        <w:jc w:val="both"/>
        <w:rPr>
          <w:rFonts w:cs="Calibri"/>
        </w:rPr>
      </w:pPr>
    </w:p>
    <w:p w14:paraId="550409EA" w14:textId="0E4494B2" w:rsidR="00BE6C06" w:rsidRDefault="00BE6C06" w:rsidP="009B6503">
      <w:pPr>
        <w:pStyle w:val="BodyText"/>
        <w:ind w:right="-23"/>
        <w:jc w:val="both"/>
        <w:rPr>
          <w:rFonts w:cs="Calibri"/>
        </w:rPr>
      </w:pPr>
      <w:r w:rsidRPr="00BE6C06">
        <w:rPr>
          <w:rFonts w:cs="Calibri"/>
        </w:rPr>
        <w:t>Overall, the decomposition suggests that Belize’s long-run growth model has been heavily dependent on capital accumulation and labour expansion, while productivity growth has remained weak and volatile. The findings underscore the importance of policies aimed at enhancing productivity through technological adoption, digitalization, skills development, infrastructure modernization, institutional strengthening, and greater economic diversification. In particular, increasing female labour force participation, improving educational outcomes, and expanding higher-productivity service sectors such as business process outsourcing and digital services could help shift Belize toward a more sustainable and productivity-driven growth trajectory.</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2"/>
      <w:commentRangeStart w:id="13"/>
      <w:r w:rsidRPr="00A35137">
        <w:rPr>
          <w:rFonts w:cs="Calibri"/>
        </w:rPr>
        <w:t xml:space="preserve">Comparator economies such as Costa Rica, the Dominican Republic, and Mauritius provide </w:t>
      </w:r>
      <w:commentRangeEnd w:id="13"/>
      <w:r w:rsidR="004524A5" w:rsidRPr="00A35137">
        <w:rPr>
          <w:rStyle w:val="CommentReference"/>
          <w:rFonts w:cs="Calibri"/>
          <w:sz w:val="22"/>
          <w:szCs w:val="22"/>
        </w:rPr>
        <w:commentReference w:id="13"/>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2"/>
      <w:r w:rsidR="004524A5" w:rsidRPr="00A35137">
        <w:rPr>
          <w:rStyle w:val="CommentReference"/>
          <w:rFonts w:cs="Calibri"/>
          <w:sz w:val="22"/>
          <w:szCs w:val="22"/>
        </w:rPr>
        <w:commentReference w:id="12"/>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71C129B8" w:rsidR="009B6503" w:rsidRPr="00A35137" w:rsidRDefault="009B6503" w:rsidP="009B6503">
      <w:pPr>
        <w:pStyle w:val="Caption"/>
        <w:keepNext/>
        <w:spacing w:after="0"/>
        <w:jc w:val="center"/>
        <w:rPr>
          <w:rFonts w:cs="Calibri"/>
          <w:b/>
          <w:bCs/>
          <w:i w:val="0"/>
          <w:iCs w:val="0"/>
          <w:sz w:val="22"/>
          <w:szCs w:val="22"/>
        </w:rPr>
      </w:pPr>
      <w:commentRangeStart w:id="14"/>
      <w:r w:rsidRPr="00A35137">
        <w:rPr>
          <w:rFonts w:cs="Calibri"/>
          <w:b/>
          <w:bCs/>
          <w:i w:val="0"/>
          <w:iCs w:val="0"/>
          <w:sz w:val="22"/>
          <w:szCs w:val="22"/>
        </w:rPr>
        <w:lastRenderedPageBreak/>
        <w:t xml:space="preserve">Figure </w:t>
      </w:r>
      <w:r w:rsidR="00850EEF" w:rsidRPr="00A35137">
        <w:rPr>
          <w:rFonts w:cs="Calibri"/>
          <w:b/>
          <w:bCs/>
          <w:i w:val="0"/>
          <w:iCs w:val="0"/>
          <w:sz w:val="22"/>
          <w:szCs w:val="22"/>
        </w:rPr>
        <w:fldChar w:fldCharType="begin"/>
      </w:r>
      <w:r w:rsidR="00850EEF" w:rsidRPr="00A35137">
        <w:rPr>
          <w:rFonts w:cs="Calibri"/>
          <w:b/>
          <w:bCs/>
          <w:i w:val="0"/>
          <w:iCs w:val="0"/>
          <w:sz w:val="22"/>
          <w:szCs w:val="22"/>
        </w:rPr>
        <w:instrText xml:space="preserve"> SEQ Figure \* ARABIC </w:instrText>
      </w:r>
      <w:r w:rsidR="00850EEF" w:rsidRPr="00A35137">
        <w:rPr>
          <w:rFonts w:cs="Calibri"/>
          <w:b/>
          <w:bCs/>
          <w:i w:val="0"/>
          <w:iCs w:val="0"/>
          <w:sz w:val="22"/>
          <w:szCs w:val="22"/>
        </w:rPr>
        <w:fldChar w:fldCharType="separate"/>
      </w:r>
      <w:r w:rsidR="00DE0B76">
        <w:rPr>
          <w:rFonts w:cs="Calibri"/>
          <w:b/>
          <w:bCs/>
          <w:i w:val="0"/>
          <w:iCs w:val="0"/>
          <w:noProof/>
          <w:sz w:val="22"/>
          <w:szCs w:val="22"/>
        </w:rPr>
        <w:t>3</w:t>
      </w:r>
      <w:r w:rsidR="00850EEF" w:rsidRPr="00A35137">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4"/>
      <w:r w:rsidR="004524A5" w:rsidRPr="00A35137">
        <w:rPr>
          <w:rStyle w:val="CommentReference"/>
          <w:rFonts w:cs="Calibri"/>
          <w:b/>
          <w:bCs/>
          <w:i w:val="0"/>
          <w:iCs w:val="0"/>
          <w:sz w:val="22"/>
          <w:szCs w:val="22"/>
        </w:rPr>
        <w:commentReference w:id="14"/>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4">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Pr="00A35137" w:rsidRDefault="009B6503" w:rsidP="00897C27">
      <w:pPr>
        <w:pStyle w:val="BodyText"/>
        <w:ind w:right="4"/>
        <w:jc w:val="both"/>
        <w:rPr>
          <w:rFonts w:cs="Calibri"/>
        </w:rPr>
      </w:pPr>
    </w:p>
    <w:p w14:paraId="679EBE59" w14:textId="77777777" w:rsidR="00025B15" w:rsidRDefault="00025B15" w:rsidP="00897C27">
      <w:pPr>
        <w:pStyle w:val="BodyText"/>
        <w:ind w:right="4"/>
        <w:jc w:val="both"/>
        <w:rPr>
          <w:rFonts w:cs="Calibri"/>
          <w:b/>
          <w:bCs/>
          <w:sz w:val="24"/>
          <w:szCs w:val="24"/>
        </w:rPr>
      </w:pPr>
    </w:p>
    <w:p w14:paraId="685A4107" w14:textId="0881E317" w:rsidR="00025B15" w:rsidRDefault="00BC51AF" w:rsidP="00897C27">
      <w:pPr>
        <w:pStyle w:val="BodyText"/>
        <w:ind w:right="4"/>
        <w:jc w:val="both"/>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2A8DAA55" w14:textId="77777777" w:rsidR="00BC51AF" w:rsidRDefault="00BC51AF" w:rsidP="00897C27">
      <w:pPr>
        <w:pStyle w:val="BodyText"/>
        <w:ind w:right="4"/>
        <w:jc w:val="both"/>
        <w:rPr>
          <w:rFonts w:cs="Calibri"/>
          <w:b/>
          <w:bCs/>
          <w:sz w:val="24"/>
          <w:szCs w:val="24"/>
        </w:rPr>
      </w:pPr>
    </w:p>
    <w:p w14:paraId="6FA944B4" w14:textId="77777777" w:rsidR="00BC51AF" w:rsidRDefault="00BC51AF" w:rsidP="00897C27">
      <w:pPr>
        <w:pStyle w:val="BodyText"/>
        <w:ind w:right="4"/>
        <w:jc w:val="both"/>
        <w:rPr>
          <w:rFonts w:cs="Calibri"/>
          <w:b/>
          <w:bCs/>
          <w:sz w:val="24"/>
          <w:szCs w:val="24"/>
        </w:rPr>
      </w:pPr>
    </w:p>
    <w:p w14:paraId="5828470E" w14:textId="77777777" w:rsidR="00BC51AF" w:rsidRDefault="00BC51AF" w:rsidP="00897C27">
      <w:pPr>
        <w:pStyle w:val="BodyText"/>
        <w:ind w:right="4"/>
        <w:jc w:val="both"/>
        <w:rPr>
          <w:rFonts w:cs="Calibri"/>
          <w:b/>
          <w:bCs/>
          <w:sz w:val="24"/>
          <w:szCs w:val="24"/>
        </w:rPr>
      </w:pPr>
    </w:p>
    <w:p w14:paraId="73B3D8B5" w14:textId="77777777" w:rsidR="00BC51AF" w:rsidRDefault="00BC51AF" w:rsidP="00897C27">
      <w:pPr>
        <w:pStyle w:val="BodyText"/>
        <w:ind w:right="4"/>
        <w:jc w:val="both"/>
        <w:rPr>
          <w:rFonts w:cs="Calibri"/>
          <w:b/>
          <w:bCs/>
          <w:sz w:val="24"/>
          <w:szCs w:val="24"/>
        </w:rPr>
      </w:pPr>
    </w:p>
    <w:p w14:paraId="75D38634"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t>Demographic</w:t>
      </w:r>
      <w:r w:rsidR="00526537" w:rsidRPr="00BC51AF">
        <w:rPr>
          <w:rFonts w:ascii="Trebuchet MS" w:hAnsi="Trebuchet MS"/>
          <w:b/>
          <w:bCs/>
          <w:sz w:val="28"/>
          <w:szCs w:val="28"/>
        </w:rPr>
        <w:t xml:space="preserve"> </w:t>
      </w:r>
      <w:commentRangeStart w:id="15"/>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5"/>
      <w:r w:rsidR="004524A5" w:rsidRPr="00BC51AF">
        <w:rPr>
          <w:rStyle w:val="CommentReference"/>
          <w:rFonts w:ascii="Trebuchet MS" w:hAnsi="Trebuchet MS"/>
          <w:b/>
          <w:bCs/>
          <w:sz w:val="28"/>
          <w:szCs w:val="28"/>
        </w:rPr>
        <w:commentReference w:id="15"/>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6"/>
      <w:r w:rsidRPr="00A35137">
        <w:rPr>
          <w:rFonts w:cs="Calibri"/>
        </w:rPr>
        <w:t xml:space="preserve">Belize’s estimated mid-year population in 2026 stood at </w:t>
      </w:r>
      <w:commentRangeStart w:id="17"/>
      <w:r w:rsidRPr="00A35137">
        <w:rPr>
          <w:rFonts w:cs="Calibri"/>
        </w:rPr>
        <w:t>426,368</w:t>
      </w:r>
      <w:r w:rsidR="005222DA" w:rsidRPr="00A35137">
        <w:rPr>
          <w:rFonts w:cs="Calibri"/>
        </w:rPr>
        <w:t>, comprising 210,525 males and 217,869 females,</w:t>
      </w:r>
      <w:commentRangeEnd w:id="17"/>
      <w:r w:rsidR="004524A5" w:rsidRPr="00A35137">
        <w:rPr>
          <w:rStyle w:val="CommentReference"/>
          <w:rFonts w:cs="Calibri"/>
          <w:sz w:val="22"/>
          <w:szCs w:val="22"/>
        </w:rPr>
        <w:commentReference w:id="17"/>
      </w:r>
      <w:r w:rsidR="005222DA" w:rsidRPr="00A35137">
        <w:rPr>
          <w:rFonts w:cs="Calibri"/>
        </w:rPr>
        <w:t xml:space="preserve"> implying a gender ratio of approximately 96.6 males per 100 females</w:t>
      </w:r>
      <w:r w:rsidRPr="00A35137">
        <w:rPr>
          <w:rFonts w:cs="Calibri"/>
        </w:rPr>
        <w:t xml:space="preserve">. </w:t>
      </w:r>
      <w:commentRangeEnd w:id="16"/>
      <w:r w:rsidR="004524A5" w:rsidRPr="00A35137">
        <w:rPr>
          <w:rStyle w:val="CommentReference"/>
          <w:rFonts w:cs="Calibri"/>
          <w:sz w:val="22"/>
          <w:szCs w:val="22"/>
        </w:rPr>
        <w:commentReference w:id="16"/>
      </w:r>
      <w:r w:rsidRPr="00A35137">
        <w:rPr>
          <w:rFonts w:cs="Calibri"/>
        </w:rPr>
        <w:t xml:space="preserve">Between 2015 and 2026, </w:t>
      </w:r>
      <w:commentRangeStart w:id="18"/>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18"/>
      <w:r w:rsidR="004524A5">
        <w:rPr>
          <w:rStyle w:val="CommentReference"/>
          <w:rFonts w:cs="Calibri"/>
          <w:sz w:val="22"/>
          <w:szCs w:val="22"/>
        </w:rPr>
        <w:commentReference w:id="18"/>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19"/>
      <w:r w:rsidRPr="00C42727">
        <w:rPr>
          <w:rFonts w:cs="Calibri"/>
        </w:rPr>
        <w:t>states</w:t>
      </w:r>
      <w:commentRangeEnd w:id="19"/>
      <w:r w:rsidR="004524A5" w:rsidRPr="00E37CBB">
        <w:rPr>
          <w:rStyle w:val="CommentReference"/>
          <w:rFonts w:cs="Calibri"/>
          <w:sz w:val="22"/>
          <w:szCs w:val="22"/>
        </w:rPr>
        <w:commentReference w:id="19"/>
      </w:r>
      <w:r w:rsidRPr="00E37CBB">
        <w:rPr>
          <w:rFonts w:cs="Calibri"/>
        </w:rPr>
        <w:t>, Belize</w:t>
      </w:r>
      <w:r>
        <w:rPr>
          <w:rFonts w:cs="Calibri"/>
        </w:rPr>
        <w:t xml:space="preserve"> is becoming increasingly ruralized. </w:t>
      </w:r>
      <w:commentRangeStart w:id="20"/>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emerging as key labour supply centers</w:t>
      </w:r>
      <w:commentRangeEnd w:id="20"/>
      <w:r w:rsidR="004524A5">
        <w:rPr>
          <w:rStyle w:val="CommentReference"/>
          <w:rFonts w:cs="Calibri"/>
          <w:sz w:val="22"/>
          <w:szCs w:val="22"/>
        </w:rPr>
        <w:commentReference w:id="20"/>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1"/>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1"/>
      <w:r w:rsidR="004524A5">
        <w:rPr>
          <w:rStyle w:val="CommentReference"/>
          <w:rFonts w:cs="Calibri"/>
          <w:sz w:val="22"/>
          <w:szCs w:val="22"/>
        </w:rPr>
        <w:commentReference w:id="21"/>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2"/>
      <w:r w:rsidRPr="00FB368B">
        <w:rPr>
          <w:rFonts w:cs="Calibri"/>
        </w:rPr>
        <w:t>sustained population growth raises demand for housing, education, healthcare, transportation, and other public infrastructure</w:t>
      </w:r>
      <w:commentRangeEnd w:id="22"/>
      <w:r w:rsidR="004524A5">
        <w:rPr>
          <w:rStyle w:val="CommentReference"/>
          <w:rFonts w:cs="Calibri"/>
          <w:sz w:val="22"/>
          <w:szCs w:val="22"/>
        </w:rPr>
        <w:commentReference w:id="22"/>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3"/>
      <w:r w:rsidRPr="00A35137">
        <w:rPr>
          <w:rFonts w:cs="Calibri"/>
        </w:rPr>
        <w:t>The country’s total dependency ratio stood at 54.7</w:t>
      </w:r>
      <w:r w:rsidRPr="00A35137">
        <w:rPr>
          <w:rStyle w:val="FootnoteReference"/>
          <w:rFonts w:cs="Calibri"/>
        </w:rPr>
        <w:footnoteReference w:id="5"/>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3"/>
      <w:r w:rsidR="004524A5" w:rsidRPr="00A35137">
        <w:rPr>
          <w:rStyle w:val="CommentReference"/>
          <w:rFonts w:cs="Calibri"/>
          <w:sz w:val="22"/>
          <w:szCs w:val="22"/>
        </w:rPr>
        <w:commentReference w:id="23"/>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1A6A59A1" w:rsidR="00850EEF" w:rsidRPr="00A35137" w:rsidRDefault="00850EEF" w:rsidP="00407FF5">
      <w:pPr>
        <w:pStyle w:val="Caption"/>
        <w:keepNext/>
        <w:spacing w:after="0"/>
        <w:jc w:val="center"/>
        <w:rPr>
          <w:rFonts w:cs="Calibri"/>
          <w:b/>
          <w:bCs/>
          <w:i w:val="0"/>
          <w:iCs w:val="0"/>
          <w:sz w:val="22"/>
          <w:szCs w:val="22"/>
        </w:rPr>
      </w:pPr>
      <w:commentRangeStart w:id="24"/>
      <w:r w:rsidRPr="00A35137">
        <w:rPr>
          <w:rFonts w:cs="Calibri"/>
          <w:b/>
          <w:bCs/>
          <w:i w:val="0"/>
          <w:iCs w:val="0"/>
          <w:sz w:val="22"/>
          <w:szCs w:val="22"/>
        </w:rPr>
        <w:t xml:space="preserve">Figure </w:t>
      </w:r>
      <w:r w:rsidRPr="00A35137">
        <w:rPr>
          <w:rFonts w:cs="Calibri"/>
          <w:b/>
          <w:bCs/>
          <w:i w:val="0"/>
          <w:iCs w:val="0"/>
          <w:sz w:val="22"/>
          <w:szCs w:val="22"/>
        </w:rPr>
        <w:fldChar w:fldCharType="begin"/>
      </w:r>
      <w:r w:rsidRPr="00A35137">
        <w:rPr>
          <w:rFonts w:cs="Calibri"/>
          <w:b/>
          <w:bCs/>
          <w:i w:val="0"/>
          <w:iCs w:val="0"/>
          <w:sz w:val="22"/>
          <w:szCs w:val="22"/>
        </w:rPr>
        <w:instrText xml:space="preserve"> SEQ Figure \* ARABIC </w:instrText>
      </w:r>
      <w:r w:rsidRPr="00A35137">
        <w:rPr>
          <w:rFonts w:cs="Calibri"/>
          <w:b/>
          <w:bCs/>
          <w:i w:val="0"/>
          <w:iCs w:val="0"/>
          <w:sz w:val="22"/>
          <w:szCs w:val="22"/>
        </w:rPr>
        <w:fldChar w:fldCharType="separate"/>
      </w:r>
      <w:r w:rsidR="00DE0B76">
        <w:rPr>
          <w:rFonts w:cs="Calibri"/>
          <w:b/>
          <w:bCs/>
          <w:i w:val="0"/>
          <w:iCs w:val="0"/>
          <w:noProof/>
          <w:sz w:val="22"/>
          <w:szCs w:val="22"/>
        </w:rPr>
        <w:t>4</w:t>
      </w:r>
      <w:r w:rsidRPr="00A35137">
        <w:rPr>
          <w:rFonts w:cs="Calibri"/>
          <w:b/>
          <w:bCs/>
          <w:i w:val="0"/>
          <w:iCs w:val="0"/>
          <w:sz w:val="22"/>
          <w:szCs w:val="22"/>
        </w:rPr>
        <w:fldChar w:fldCharType="end"/>
      </w:r>
      <w:r w:rsidRPr="00A35137">
        <w:rPr>
          <w:rFonts w:cs="Calibri"/>
          <w:b/>
          <w:bCs/>
          <w:i w:val="0"/>
          <w:iCs w:val="0"/>
          <w:sz w:val="22"/>
          <w:szCs w:val="22"/>
        </w:rPr>
        <w:t xml:space="preserve">: </w:t>
      </w:r>
      <w:commentRangeEnd w:id="24"/>
      <w:r w:rsidR="004524A5" w:rsidRPr="00A35137">
        <w:rPr>
          <w:rStyle w:val="CommentReference"/>
          <w:rFonts w:cs="Calibri"/>
          <w:b/>
          <w:bCs/>
          <w:i w:val="0"/>
          <w:iCs w:val="0"/>
          <w:sz w:val="22"/>
          <w:szCs w:val="22"/>
        </w:rPr>
        <w:commentReference w:id="24"/>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5"/>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5"/>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5"/>
      <w:r w:rsidR="004524A5" w:rsidRPr="00A35137">
        <w:rPr>
          <w:rStyle w:val="CommentReference"/>
          <w:rFonts w:cs="Calibri"/>
          <w:sz w:val="22"/>
          <w:szCs w:val="22"/>
        </w:rPr>
        <w:commentReference w:id="25"/>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7CFD2A9C" w:rsidR="00C42727" w:rsidRDefault="00C42727" w:rsidP="00C42727">
      <w:pPr>
        <w:pStyle w:val="Caption"/>
        <w:keepNext/>
        <w:spacing w:after="0"/>
        <w:jc w:val="center"/>
        <w:rPr>
          <w:b/>
          <w:bCs/>
          <w:i w:val="0"/>
          <w:iCs w:val="0"/>
          <w:sz w:val="22"/>
          <w:szCs w:val="22"/>
        </w:rPr>
      </w:pPr>
      <w:commentRangeStart w:id="26"/>
      <w:r w:rsidRPr="00C42727">
        <w:rPr>
          <w:b/>
          <w:bCs/>
          <w:i w:val="0"/>
          <w:iCs w:val="0"/>
          <w:sz w:val="22"/>
          <w:szCs w:val="22"/>
        </w:rPr>
        <w:t xml:space="preserve">Figure </w:t>
      </w:r>
      <w:r w:rsidRPr="00C42727">
        <w:rPr>
          <w:b/>
          <w:bCs/>
          <w:i w:val="0"/>
          <w:iCs w:val="0"/>
          <w:sz w:val="22"/>
          <w:szCs w:val="22"/>
        </w:rPr>
        <w:fldChar w:fldCharType="begin"/>
      </w:r>
      <w:r w:rsidRPr="00C42727">
        <w:rPr>
          <w:b/>
          <w:bCs/>
          <w:i w:val="0"/>
          <w:iCs w:val="0"/>
          <w:sz w:val="22"/>
          <w:szCs w:val="22"/>
        </w:rPr>
        <w:instrText xml:space="preserve"> SEQ Figure \* ARABIC </w:instrText>
      </w:r>
      <w:r w:rsidRPr="00C42727">
        <w:rPr>
          <w:b/>
          <w:bCs/>
          <w:i w:val="0"/>
          <w:iCs w:val="0"/>
          <w:sz w:val="22"/>
          <w:szCs w:val="22"/>
        </w:rPr>
        <w:fldChar w:fldCharType="separate"/>
      </w:r>
      <w:r w:rsidR="00DE0B76">
        <w:rPr>
          <w:b/>
          <w:bCs/>
          <w:i w:val="0"/>
          <w:iCs w:val="0"/>
          <w:noProof/>
          <w:sz w:val="22"/>
          <w:szCs w:val="22"/>
        </w:rPr>
        <w:t>5</w:t>
      </w:r>
      <w:r w:rsidRPr="00C42727">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6"/>
      <w:r w:rsidR="004524A5" w:rsidRPr="00C42727">
        <w:rPr>
          <w:rStyle w:val="CommentReference"/>
          <w:b/>
          <w:bCs/>
          <w:i w:val="0"/>
          <w:iCs w:val="0"/>
          <w:sz w:val="22"/>
          <w:szCs w:val="22"/>
        </w:rPr>
        <w:commentReference w:id="26"/>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6"/>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7"/>
      <w:r w:rsidR="00012CD9">
        <w:rPr>
          <w:rFonts w:cs="Calibri"/>
        </w:rPr>
        <w:t>as evidenced by the sharp decline during the COVID-19 pandemic and the subsequent rebound in 2022</w:t>
      </w:r>
      <w:commentRangeEnd w:id="27"/>
      <w:r w:rsidR="004524A5">
        <w:rPr>
          <w:rStyle w:val="CommentReference"/>
          <w:rFonts w:cs="Calibri"/>
          <w:sz w:val="22"/>
          <w:szCs w:val="22"/>
        </w:rPr>
        <w:commentReference w:id="27"/>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6"/>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28"/>
      <w:r w:rsidRPr="00B268C9">
        <w:rPr>
          <w:rFonts w:ascii="Trebuchet MS" w:hAnsi="Trebuchet MS"/>
          <w:b/>
          <w:bCs/>
          <w:sz w:val="28"/>
          <w:szCs w:val="28"/>
        </w:rPr>
        <w:t>Labour Market Assessment</w:t>
      </w:r>
      <w:commentRangeEnd w:id="28"/>
      <w:r w:rsidR="004524A5" w:rsidRPr="00B268C9">
        <w:rPr>
          <w:rStyle w:val="CommentReference"/>
          <w:rFonts w:ascii="Trebuchet MS" w:hAnsi="Trebuchet MS"/>
          <w:b/>
          <w:bCs/>
          <w:sz w:val="28"/>
          <w:szCs w:val="28"/>
        </w:rPr>
        <w:commentReference w:id="28"/>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17589A8F"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Pr="00C31ACE">
        <w:rPr>
          <w:b/>
          <w:bCs/>
          <w:i w:val="0"/>
          <w:iCs w:val="0"/>
          <w:sz w:val="22"/>
          <w:szCs w:val="22"/>
        </w:rPr>
        <w:fldChar w:fldCharType="begin"/>
      </w:r>
      <w:r w:rsidRPr="00C31ACE">
        <w:rPr>
          <w:b/>
          <w:bCs/>
          <w:i w:val="0"/>
          <w:iCs w:val="0"/>
          <w:sz w:val="22"/>
          <w:szCs w:val="22"/>
        </w:rPr>
        <w:instrText xml:space="preserve"> SEQ Figure \* ARABIC </w:instrText>
      </w:r>
      <w:r w:rsidRPr="00C31ACE">
        <w:rPr>
          <w:b/>
          <w:bCs/>
          <w:i w:val="0"/>
          <w:iCs w:val="0"/>
          <w:sz w:val="22"/>
          <w:szCs w:val="22"/>
        </w:rPr>
        <w:fldChar w:fldCharType="separate"/>
      </w:r>
      <w:r w:rsidR="00DE0B76">
        <w:rPr>
          <w:b/>
          <w:bCs/>
          <w:i w:val="0"/>
          <w:iCs w:val="0"/>
          <w:noProof/>
          <w:sz w:val="22"/>
          <w:szCs w:val="22"/>
        </w:rPr>
        <w:t>6</w:t>
      </w:r>
      <w:r w:rsidRPr="00C31ACE">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17"/>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29"/>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29"/>
      <w:r w:rsidR="004524A5">
        <w:rPr>
          <w:rStyle w:val="CommentReference"/>
          <w:rFonts w:cs="Aptos Serif"/>
          <w:sz w:val="22"/>
          <w:szCs w:val="22"/>
        </w:rPr>
        <w:commentReference w:id="29"/>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3D2E2B67"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Pr="002F5E4D">
        <w:rPr>
          <w:b/>
          <w:bCs/>
          <w:i w:val="0"/>
          <w:iCs w:val="0"/>
          <w:sz w:val="22"/>
          <w:szCs w:val="22"/>
        </w:rPr>
        <w:fldChar w:fldCharType="begin"/>
      </w:r>
      <w:r w:rsidRPr="002F5E4D">
        <w:rPr>
          <w:b/>
          <w:bCs/>
          <w:i w:val="0"/>
          <w:iCs w:val="0"/>
          <w:sz w:val="22"/>
          <w:szCs w:val="22"/>
        </w:rPr>
        <w:instrText xml:space="preserve"> SEQ Figure \* ARABIC </w:instrText>
      </w:r>
      <w:r w:rsidRPr="002F5E4D">
        <w:rPr>
          <w:b/>
          <w:bCs/>
          <w:i w:val="0"/>
          <w:iCs w:val="0"/>
          <w:sz w:val="22"/>
          <w:szCs w:val="22"/>
        </w:rPr>
        <w:fldChar w:fldCharType="separate"/>
      </w:r>
      <w:r w:rsidR="00DE0B76">
        <w:rPr>
          <w:b/>
          <w:bCs/>
          <w:i w:val="0"/>
          <w:iCs w:val="0"/>
          <w:noProof/>
          <w:sz w:val="22"/>
          <w:szCs w:val="22"/>
        </w:rPr>
        <w:t>7</w:t>
      </w:r>
      <w:r w:rsidRPr="002F5E4D">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18"/>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0"/>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0"/>
            <w:r w:rsidR="004524A5" w:rsidRPr="00D22CE8">
              <w:rPr>
                <w:rStyle w:val="CommentReference"/>
                <w:rFonts w:cs="Calibri"/>
                <w:sz w:val="20"/>
                <w:szCs w:val="20"/>
              </w:rPr>
              <w:commentReference w:id="30"/>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1"/>
      <w:r w:rsidRPr="00190CCF">
        <w:rPr>
          <w:b/>
          <w:bCs/>
          <w:sz w:val="24"/>
          <w:szCs w:val="24"/>
        </w:rPr>
        <w:t>Gender Participation Gap</w:t>
      </w:r>
      <w:commentRangeEnd w:id="31"/>
      <w:r w:rsidR="004524A5" w:rsidRPr="00190CCF">
        <w:rPr>
          <w:rStyle w:val="CommentReference"/>
          <w:b/>
          <w:bCs/>
          <w:sz w:val="24"/>
          <w:szCs w:val="24"/>
        </w:rPr>
        <w:commentReference w:id="31"/>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2F43E4E3" w:rsidR="006803F4" w:rsidRDefault="006803F4" w:rsidP="006803F4">
      <w:pPr>
        <w:pStyle w:val="Caption"/>
        <w:keepNext/>
        <w:spacing w:after="0"/>
        <w:jc w:val="center"/>
        <w:rPr>
          <w:b/>
          <w:bCs/>
          <w:i w:val="0"/>
          <w:iCs w:val="0"/>
          <w:sz w:val="22"/>
          <w:szCs w:val="22"/>
        </w:rPr>
      </w:pPr>
      <w:commentRangeStart w:id="32"/>
      <w:r w:rsidRPr="00E2026A">
        <w:rPr>
          <w:b/>
          <w:bCs/>
          <w:i w:val="0"/>
          <w:iCs w:val="0"/>
          <w:sz w:val="22"/>
          <w:szCs w:val="22"/>
        </w:rPr>
        <w:t xml:space="preserve">Figure </w:t>
      </w:r>
      <w:r w:rsidRPr="00E2026A">
        <w:rPr>
          <w:b/>
          <w:bCs/>
          <w:i w:val="0"/>
          <w:iCs w:val="0"/>
          <w:sz w:val="22"/>
          <w:szCs w:val="22"/>
        </w:rPr>
        <w:fldChar w:fldCharType="begin"/>
      </w:r>
      <w:r w:rsidRPr="00E2026A">
        <w:rPr>
          <w:b/>
          <w:bCs/>
          <w:i w:val="0"/>
          <w:iCs w:val="0"/>
          <w:sz w:val="22"/>
          <w:szCs w:val="22"/>
        </w:rPr>
        <w:instrText xml:space="preserve"> SEQ Figure \* ARABIC </w:instrText>
      </w:r>
      <w:r w:rsidRPr="00E2026A">
        <w:rPr>
          <w:b/>
          <w:bCs/>
          <w:i w:val="0"/>
          <w:iCs w:val="0"/>
          <w:sz w:val="22"/>
          <w:szCs w:val="22"/>
        </w:rPr>
        <w:fldChar w:fldCharType="separate"/>
      </w:r>
      <w:r w:rsidR="00DE0B76">
        <w:rPr>
          <w:b/>
          <w:bCs/>
          <w:i w:val="0"/>
          <w:iCs w:val="0"/>
          <w:noProof/>
          <w:sz w:val="22"/>
          <w:szCs w:val="22"/>
        </w:rPr>
        <w:t>8</w:t>
      </w:r>
      <w:r w:rsidRPr="00E2026A">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2"/>
      <w:r w:rsidR="004524A5" w:rsidRPr="00E2026A">
        <w:rPr>
          <w:rStyle w:val="CommentReference"/>
          <w:b/>
          <w:bCs/>
          <w:i w:val="0"/>
          <w:iCs w:val="0"/>
          <w:sz w:val="22"/>
          <w:szCs w:val="22"/>
        </w:rPr>
        <w:commentReference w:id="32"/>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19"/>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domestic responsibilities, transportation limitations, </w:t>
      </w:r>
      <w:commentRangeStart w:id="33"/>
      <w:r w:rsidRPr="00E32DAA">
        <w:rPr>
          <w:rFonts w:cs="Calibri"/>
        </w:rPr>
        <w:t xml:space="preserve">occupational segregation, </w:t>
      </w:r>
      <w:commentRangeEnd w:id="33"/>
      <w:r w:rsidR="004524A5" w:rsidRPr="00E32DAA">
        <w:rPr>
          <w:rStyle w:val="CommentReference"/>
          <w:rFonts w:cs="Calibri"/>
          <w:sz w:val="22"/>
          <w:szCs w:val="22"/>
        </w:rPr>
        <w:commentReference w:id="33"/>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These constraints likely 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5AB0A377"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Pr="004A70F0">
        <w:rPr>
          <w:b/>
          <w:bCs/>
          <w:i w:val="0"/>
          <w:iCs w:val="0"/>
          <w:sz w:val="22"/>
          <w:szCs w:val="22"/>
        </w:rPr>
        <w:fldChar w:fldCharType="begin"/>
      </w:r>
      <w:r w:rsidRPr="004A70F0">
        <w:rPr>
          <w:b/>
          <w:bCs/>
          <w:i w:val="0"/>
          <w:iCs w:val="0"/>
          <w:sz w:val="22"/>
          <w:szCs w:val="22"/>
        </w:rPr>
        <w:instrText xml:space="preserve"> SEQ Figure \* ARABIC </w:instrText>
      </w:r>
      <w:r w:rsidRPr="004A70F0">
        <w:rPr>
          <w:b/>
          <w:bCs/>
          <w:i w:val="0"/>
          <w:iCs w:val="0"/>
          <w:sz w:val="22"/>
          <w:szCs w:val="22"/>
        </w:rPr>
        <w:fldChar w:fldCharType="separate"/>
      </w:r>
      <w:r w:rsidR="00DE0B76">
        <w:rPr>
          <w:b/>
          <w:bCs/>
          <w:i w:val="0"/>
          <w:iCs w:val="0"/>
          <w:noProof/>
          <w:sz w:val="22"/>
          <w:szCs w:val="22"/>
        </w:rPr>
        <w:t>9</w:t>
      </w:r>
      <w:r w:rsidRPr="004A70F0">
        <w:rPr>
          <w:b/>
          <w:bCs/>
          <w:i w:val="0"/>
          <w:iCs w:val="0"/>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0"/>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039D6BE2" w:rsidR="004520CC" w:rsidRDefault="004520CC" w:rsidP="00C70ADB">
      <w:pPr>
        <w:jc w:val="center"/>
        <w:rPr>
          <w:b/>
          <w:bCs/>
          <w:i/>
          <w:iCs/>
        </w:rPr>
      </w:pPr>
      <w:r w:rsidRPr="00986BB3">
        <w:rPr>
          <w:b/>
          <w:bCs/>
        </w:rPr>
        <w:t xml:space="preserve">Figure </w:t>
      </w:r>
      <w:r w:rsidRPr="00986BB3">
        <w:rPr>
          <w:b/>
          <w:bCs/>
        </w:rPr>
        <w:fldChar w:fldCharType="begin"/>
      </w:r>
      <w:r w:rsidRPr="00986BB3">
        <w:rPr>
          <w:b/>
          <w:bCs/>
        </w:rPr>
        <w:instrText xml:space="preserve"> SEQ Figure \* ARABIC </w:instrText>
      </w:r>
      <w:r w:rsidRPr="00986BB3">
        <w:rPr>
          <w:b/>
          <w:bCs/>
        </w:rPr>
        <w:fldChar w:fldCharType="separate"/>
      </w:r>
      <w:r w:rsidR="00DE0B76">
        <w:rPr>
          <w:b/>
          <w:bCs/>
          <w:noProof/>
        </w:rPr>
        <w:t>10</w:t>
      </w:r>
      <w:r w:rsidRPr="00986BB3">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1"/>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4"/>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4"/>
      <w:r w:rsidR="004524A5">
        <w:rPr>
          <w:rStyle w:val="CommentReference"/>
          <w:rFonts w:cs="Calibri"/>
          <w:sz w:val="22"/>
          <w:szCs w:val="22"/>
        </w:rPr>
        <w:commentReference w:id="34"/>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457C059D" w:rsidR="00B61122" w:rsidRDefault="00B61122" w:rsidP="00B61122">
      <w:pPr>
        <w:pStyle w:val="Caption"/>
        <w:keepNext/>
        <w:spacing w:after="0"/>
        <w:jc w:val="center"/>
        <w:rPr>
          <w:b/>
          <w:bCs/>
          <w:i w:val="0"/>
          <w:iCs w:val="0"/>
          <w:sz w:val="22"/>
          <w:szCs w:val="22"/>
        </w:rPr>
      </w:pPr>
      <w:r w:rsidRPr="000D628F">
        <w:rPr>
          <w:b/>
          <w:bCs/>
          <w:i w:val="0"/>
          <w:iCs w:val="0"/>
          <w:sz w:val="22"/>
          <w:szCs w:val="22"/>
        </w:rPr>
        <w:t xml:space="preserve">Figure </w:t>
      </w:r>
      <w:r w:rsidRPr="000D628F">
        <w:rPr>
          <w:b/>
          <w:bCs/>
          <w:i w:val="0"/>
          <w:iCs w:val="0"/>
          <w:sz w:val="22"/>
          <w:szCs w:val="22"/>
        </w:rPr>
        <w:fldChar w:fldCharType="begin"/>
      </w:r>
      <w:r w:rsidRPr="000D628F">
        <w:rPr>
          <w:b/>
          <w:bCs/>
          <w:i w:val="0"/>
          <w:iCs w:val="0"/>
          <w:sz w:val="22"/>
          <w:szCs w:val="22"/>
        </w:rPr>
        <w:instrText xml:space="preserve"> SEQ Figure \* ARABIC </w:instrText>
      </w:r>
      <w:r w:rsidRPr="000D628F">
        <w:rPr>
          <w:b/>
          <w:bCs/>
          <w:i w:val="0"/>
          <w:iCs w:val="0"/>
          <w:sz w:val="22"/>
          <w:szCs w:val="22"/>
        </w:rPr>
        <w:fldChar w:fldCharType="separate"/>
      </w:r>
      <w:r w:rsidR="00DE0B76">
        <w:rPr>
          <w:b/>
          <w:bCs/>
          <w:i w:val="0"/>
          <w:iCs w:val="0"/>
          <w:noProof/>
          <w:sz w:val="22"/>
          <w:szCs w:val="22"/>
        </w:rPr>
        <w:t>11</w:t>
      </w:r>
      <w:r w:rsidRPr="000D628F">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5"/>
      <w:r>
        <w:rPr>
          <w:b/>
          <w:bCs/>
          <w:i w:val="0"/>
          <w:iCs w:val="0"/>
          <w:sz w:val="22"/>
          <w:szCs w:val="22"/>
        </w:rPr>
        <w:t>Belize: Persons Outside the Labour Force by Sex</w:t>
      </w:r>
      <w:commentRangeEnd w:id="35"/>
      <w:r w:rsidR="004524A5" w:rsidRPr="000D628F">
        <w:rPr>
          <w:rStyle w:val="CommentReference"/>
          <w:b/>
          <w:bCs/>
          <w:i w:val="0"/>
          <w:iCs w:val="0"/>
          <w:sz w:val="22"/>
          <w:szCs w:val="22"/>
        </w:rPr>
        <w:commentReference w:id="35"/>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2"/>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6"/>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6"/>
      <w:r w:rsidR="004524A5">
        <w:rPr>
          <w:rStyle w:val="CommentReference"/>
          <w:rFonts w:cs="Calibri"/>
          <w:sz w:val="22"/>
          <w:szCs w:val="22"/>
        </w:rPr>
        <w:commentReference w:id="36"/>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7"/>
      <w:r w:rsidRPr="006803F4">
        <w:rPr>
          <w:rFonts w:cs="Calibri"/>
        </w:rPr>
        <w:t>From a broader macroeconomic perspective, persistently high female labour force inactivity 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7"/>
      <w:r w:rsidR="004524A5">
        <w:rPr>
          <w:rStyle w:val="CommentReference"/>
          <w:rFonts w:cs="Calibri"/>
          <w:sz w:val="22"/>
          <w:szCs w:val="22"/>
        </w:rPr>
        <w:commentReference w:id="37"/>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26T12:28:00Z" w:initials="TD">
    <w:p w14:paraId="37F57F38" w14:textId="77777777" w:rsidR="0017039C" w:rsidRDefault="0017039C" w:rsidP="0017039C">
      <w:pPr>
        <w:pStyle w:val="CommentText"/>
      </w:pPr>
      <w:r>
        <w:rPr>
          <w:rStyle w:val="CommentReference"/>
        </w:rPr>
        <w:annotationRef/>
      </w:r>
      <w:r>
        <w:t>Growth accounting done in later section.</w:t>
      </w:r>
    </w:p>
  </w:comment>
  <w:comment w:id="3" w:author="Tommy Descartes" w:date="2026-05-25T18:32:00Z" w:initials="TD">
    <w:p w14:paraId="4A1F1C3A" w14:textId="77777777" w:rsidR="009A6624" w:rsidRDefault="009A6624" w:rsidP="00116F99">
      <w:pPr>
        <w:pStyle w:val="CommentText"/>
      </w:pPr>
      <w:r>
        <w:rPr>
          <w:rStyle w:val="CommentReference"/>
        </w:rPr>
        <w:annotationRef/>
      </w:r>
      <w:r>
        <w:t>Graph showing the decline in the average rate of growth.</w:t>
      </w:r>
    </w:p>
  </w:comment>
  <w:comment w:id="4" w:author="Tommy Descartes" w:date="2026-05-26T12:30:00Z" w:initials="TD">
    <w:p w14:paraId="268AB0B1" w14:textId="77777777" w:rsidR="009A6624" w:rsidRDefault="009A6624" w:rsidP="00122967">
      <w:pPr>
        <w:pStyle w:val="CommentText"/>
      </w:pPr>
      <w:r>
        <w:rPr>
          <w:rStyle w:val="CommentReference"/>
        </w:rPr>
        <w:annotationRef/>
      </w:r>
      <w:r>
        <w:t>Panel 2 of the graph show the subsequent declines for each 5-year period.</w:t>
      </w:r>
    </w:p>
  </w:comment>
  <w:comment w:id="5" w:author="Tommy Descartes" w:date="2026-05-26T14:35:00Z" w:initials="TD">
    <w:p w14:paraId="16217E3D" w14:textId="77777777" w:rsidR="004524A5" w:rsidRDefault="004524A5" w:rsidP="004524A5">
      <w:pPr>
        <w:pStyle w:val="CommentText"/>
      </w:pPr>
      <w:r>
        <w:rPr>
          <w:rStyle w:val="CommentReference"/>
        </w:rPr>
        <w:annotationRef/>
      </w:r>
      <w:r>
        <w:t>Standardize the graph. Use gridlines throughout and ensure the x and y axis are the same size.</w:t>
      </w:r>
    </w:p>
  </w:comment>
  <w:comment w:id="7" w:author="Tommy Descartes" w:date="2026-05-25T18:34:00Z" w:initials="TD">
    <w:p w14:paraId="4B039DE5" w14:textId="77777777" w:rsidR="00116F99" w:rsidRDefault="00116F99" w:rsidP="00116F99">
      <w:pPr>
        <w:pStyle w:val="CommentText"/>
      </w:pPr>
      <w:r>
        <w:rPr>
          <w:rStyle w:val="CommentReference"/>
        </w:rPr>
        <w:annotationRef/>
      </w:r>
      <w:r>
        <w:t>Merge the two statements.</w:t>
      </w:r>
    </w:p>
  </w:comment>
  <w:comment w:id="8" w:author="Tommy Descartes" w:date="2026-05-14T10:57:00Z" w:initials="TD">
    <w:p w14:paraId="5DD58FC9" w14:textId="77647E70" w:rsidR="00CB3548" w:rsidRDefault="00CB3548" w:rsidP="00CB3548">
      <w:pPr>
        <w:pStyle w:val="CommentText"/>
      </w:pPr>
      <w:r>
        <w:rPr>
          <w:rStyle w:val="CommentReference"/>
        </w:rPr>
        <w:annotationRef/>
      </w:r>
      <w:r>
        <w:t>Tourism reciepts???</w:t>
      </w:r>
    </w:p>
  </w:comment>
  <w:comment w:id="9"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0"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1" w:author="Tommy Descartes" w:date="2026-05-26T14:39:00Z" w:initials="TD">
    <w:p w14:paraId="2BEE9AF9" w14:textId="77777777" w:rsidR="004524A5" w:rsidRDefault="004524A5" w:rsidP="004524A5">
      <w:pPr>
        <w:pStyle w:val="CommentText"/>
      </w:pPr>
      <w:r>
        <w:rPr>
          <w:rStyle w:val="CommentReference"/>
        </w:rPr>
        <w:annotationRef/>
      </w:r>
      <w:r>
        <w:t>There is more data so we need to extend the analysis.</w:t>
      </w:r>
    </w:p>
  </w:comment>
  <w:comment w:id="13"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2"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4"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5"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7"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6"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18"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19"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0"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1"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2"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3"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4"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5"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6"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7"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28"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29"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0"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1"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2"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3"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4"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5"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6"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7"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1"/>
  <w15:commentEx w15:paraId="37F57F38" w15:paraIdParent="73CAF0F2" w15:done="1"/>
  <w15:commentEx w15:paraId="4A1F1C3A" w15:done="1"/>
  <w15:commentEx w15:paraId="268AB0B1" w15:paraIdParent="4A1F1C3A" w15:done="1"/>
  <w15:commentEx w15:paraId="16217E3D" w15:done="0"/>
  <w15:commentEx w15:paraId="4B039DE5" w15:done="0"/>
  <w15:commentEx w15:paraId="5DD58FC9" w15:done="0"/>
  <w15:commentEx w15:paraId="5E6AA443" w15:done="0"/>
  <w15:commentEx w15:paraId="11DFEF63" w15:done="0"/>
  <w15:commentEx w15:paraId="2BEE9AF9" w15:done="0"/>
  <w15:commentEx w15:paraId="7D48D290" w15:done="0"/>
  <w15:commentEx w15:paraId="335D8CAF" w15:done="0"/>
  <w15:commentEx w15:paraId="086B81C9" w15:done="0"/>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63217AA1" w16cex:dateUtc="2026-05-26T16:28:00Z"/>
  <w16cex:commentExtensible w16cex:durableId="06F44358" w16cex:dateUtc="2026-05-25T22:32:00Z"/>
  <w16cex:commentExtensible w16cex:durableId="2D6C133C" w16cex:dateUtc="2026-05-26T16:30:00Z"/>
  <w16cex:commentExtensible w16cex:durableId="5A68A107" w16cex:dateUtc="2026-05-26T18:35:00Z"/>
  <w16cex:commentExtensible w16cex:durableId="48D25A13" w16cex:dateUtc="2026-05-25T22:34:00Z"/>
  <w16cex:commentExtensible w16cex:durableId="5FE2D6ED" w16cex:dateUtc="2026-05-14T14:57:00Z"/>
  <w16cex:commentExtensible w16cex:durableId="7ED5E3AA" w16cex:dateUtc="2026-05-15T15:54:00Z"/>
  <w16cex:commentExtensible w16cex:durableId="41FB9971" w16cex:dateUtc="2026-05-25T22:51:00Z"/>
  <w16cex:commentExtensible w16cex:durableId="57ED9B36" w16cex:dateUtc="2026-05-26T18:39: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37F57F38" w16cid:durableId="63217AA1"/>
  <w16cid:commentId w16cid:paraId="4A1F1C3A" w16cid:durableId="06F44358"/>
  <w16cid:commentId w16cid:paraId="268AB0B1" w16cid:durableId="2D6C133C"/>
  <w16cid:commentId w16cid:paraId="16217E3D" w16cid:durableId="5A68A107"/>
  <w16cid:commentId w16cid:paraId="4B039DE5" w16cid:durableId="48D25A13"/>
  <w16cid:commentId w16cid:paraId="5DD58FC9" w16cid:durableId="5FE2D6ED"/>
  <w16cid:commentId w16cid:paraId="5E6AA443" w16cid:durableId="7ED5E3AA"/>
  <w16cid:commentId w16cid:paraId="11DFEF63" w16cid:durableId="41FB9971"/>
  <w16cid:commentId w16cid:paraId="2BEE9AF9" w16cid:durableId="57ED9B36"/>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D26A7" w14:textId="77777777" w:rsidR="007258CA" w:rsidRDefault="007258CA" w:rsidP="009B6503">
      <w:r>
        <w:separator/>
      </w:r>
    </w:p>
  </w:endnote>
  <w:endnote w:type="continuationSeparator" w:id="0">
    <w:p w14:paraId="3C0D512E" w14:textId="77777777" w:rsidR="007258CA" w:rsidRDefault="007258CA"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1C0C" w14:textId="77777777" w:rsidR="007258CA" w:rsidRDefault="007258CA" w:rsidP="009B6503">
      <w:r>
        <w:separator/>
      </w:r>
    </w:p>
  </w:footnote>
  <w:footnote w:type="continuationSeparator" w:id="0">
    <w:p w14:paraId="78889485" w14:textId="77777777" w:rsidR="007258CA" w:rsidRDefault="007258CA" w:rsidP="009B6503">
      <w:r>
        <w:continuationSeparator/>
      </w:r>
    </w:p>
  </w:footnote>
  <w:footnote w:id="1">
    <w:p w14:paraId="4C10FEBF" w14:textId="5BE7F2BF" w:rsidR="009B6503" w:rsidRPr="00897C27" w:rsidRDefault="009B6503" w:rsidP="009B6503">
      <w:pPr>
        <w:pStyle w:val="FootnoteText"/>
        <w:rPr>
          <w:rFonts w:cs="Calibri"/>
        </w:rPr>
      </w:pPr>
      <w:r w:rsidRPr="00890AC9">
        <w:rPr>
          <w:rStyle w:val="FootnoteReference"/>
          <w:rFonts w:cs="Calibri"/>
        </w:rPr>
        <w:footnoteRef/>
      </w:r>
      <w:r w:rsidRPr="00890AC9">
        <w:rPr>
          <w:rFonts w:cs="Calibri"/>
        </w:rPr>
        <w:t xml:space="preserve"> See Inter-American Development Bank (IDB), Rekindling Growth in Belize.</w:t>
      </w:r>
    </w:p>
  </w:footnote>
  <w:footnote w:id="2">
    <w:p w14:paraId="3193C4E1" w14:textId="2CBCCD75" w:rsidR="009860BB" w:rsidRDefault="009860BB" w:rsidP="00890AC9">
      <w:pPr>
        <w:pStyle w:val="FootnoteText"/>
        <w:jc w:val="both"/>
      </w:pPr>
      <w:r>
        <w:rPr>
          <w:rStyle w:val="FootnoteReference"/>
        </w:rPr>
        <w:footnoteRef/>
      </w:r>
      <w:r>
        <w:t xml:space="preserve"> International Monetary Fund Article IV Staff Report 2025.</w:t>
      </w:r>
    </w:p>
  </w:footnote>
  <w:footnote w:id="3">
    <w:p w14:paraId="09185D8B" w14:textId="69D118E6" w:rsidR="00890AC9" w:rsidRDefault="00890AC9" w:rsidP="00890AC9">
      <w:pPr>
        <w:pStyle w:val="FootnoteText"/>
        <w:jc w:val="both"/>
      </w:pPr>
      <w:r>
        <w:rPr>
          <w:rStyle w:val="FootnoteReference"/>
        </w:rPr>
        <w:footnoteRef/>
      </w:r>
      <w:r>
        <w:t xml:space="preserve"> According to the Office of the Prime Minister and the Ministry of Investment, Belize’s BPO sector is estimated to employ approximately 20,000 persons.</w:t>
      </w:r>
    </w:p>
  </w:footnote>
  <w:footnote w:id="4">
    <w:p w14:paraId="19A951BC" w14:textId="7FE2EA84" w:rsidR="00764D18" w:rsidRDefault="00764D18" w:rsidP="009E1020">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5">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6">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21F8"/>
    <w:rsid w:val="000C401F"/>
    <w:rsid w:val="000D5ED9"/>
    <w:rsid w:val="000D628F"/>
    <w:rsid w:val="000E6BB6"/>
    <w:rsid w:val="000F65F2"/>
    <w:rsid w:val="001039A4"/>
    <w:rsid w:val="00116F99"/>
    <w:rsid w:val="00122967"/>
    <w:rsid w:val="001359D0"/>
    <w:rsid w:val="0014630B"/>
    <w:rsid w:val="001503B5"/>
    <w:rsid w:val="001508B2"/>
    <w:rsid w:val="00150CC6"/>
    <w:rsid w:val="00152835"/>
    <w:rsid w:val="00160E1C"/>
    <w:rsid w:val="0017039C"/>
    <w:rsid w:val="0018009C"/>
    <w:rsid w:val="001830F4"/>
    <w:rsid w:val="0019022A"/>
    <w:rsid w:val="00190CCF"/>
    <w:rsid w:val="001D79B0"/>
    <w:rsid w:val="00211DAF"/>
    <w:rsid w:val="00214211"/>
    <w:rsid w:val="002228E9"/>
    <w:rsid w:val="002236D5"/>
    <w:rsid w:val="0023125B"/>
    <w:rsid w:val="002340F2"/>
    <w:rsid w:val="00240B9A"/>
    <w:rsid w:val="00241809"/>
    <w:rsid w:val="00247E45"/>
    <w:rsid w:val="00250C74"/>
    <w:rsid w:val="0025371B"/>
    <w:rsid w:val="00266BE6"/>
    <w:rsid w:val="0028094C"/>
    <w:rsid w:val="00284A36"/>
    <w:rsid w:val="00285428"/>
    <w:rsid w:val="00287290"/>
    <w:rsid w:val="00292C5B"/>
    <w:rsid w:val="002A5BE8"/>
    <w:rsid w:val="002B062C"/>
    <w:rsid w:val="002B54A1"/>
    <w:rsid w:val="002C5D74"/>
    <w:rsid w:val="002C723B"/>
    <w:rsid w:val="002F59EB"/>
    <w:rsid w:val="002F5E4D"/>
    <w:rsid w:val="003042FF"/>
    <w:rsid w:val="00305124"/>
    <w:rsid w:val="003074BA"/>
    <w:rsid w:val="00324654"/>
    <w:rsid w:val="003253CC"/>
    <w:rsid w:val="003259A5"/>
    <w:rsid w:val="00335226"/>
    <w:rsid w:val="0035376B"/>
    <w:rsid w:val="00373920"/>
    <w:rsid w:val="00393ED3"/>
    <w:rsid w:val="003A4B31"/>
    <w:rsid w:val="003D2B0C"/>
    <w:rsid w:val="003D5BB6"/>
    <w:rsid w:val="003E05B1"/>
    <w:rsid w:val="003F0523"/>
    <w:rsid w:val="004006FE"/>
    <w:rsid w:val="00407FF5"/>
    <w:rsid w:val="00410AF3"/>
    <w:rsid w:val="004520CC"/>
    <w:rsid w:val="004524A5"/>
    <w:rsid w:val="00492AEC"/>
    <w:rsid w:val="004A237F"/>
    <w:rsid w:val="004A5EC0"/>
    <w:rsid w:val="004A70F0"/>
    <w:rsid w:val="00505A7A"/>
    <w:rsid w:val="00512CB2"/>
    <w:rsid w:val="00512DCB"/>
    <w:rsid w:val="00517807"/>
    <w:rsid w:val="005222DA"/>
    <w:rsid w:val="00526537"/>
    <w:rsid w:val="00542A41"/>
    <w:rsid w:val="00546E2A"/>
    <w:rsid w:val="00564FF2"/>
    <w:rsid w:val="0057762E"/>
    <w:rsid w:val="00587C5A"/>
    <w:rsid w:val="005B3033"/>
    <w:rsid w:val="005B6235"/>
    <w:rsid w:val="005C0719"/>
    <w:rsid w:val="005C0795"/>
    <w:rsid w:val="005E03C4"/>
    <w:rsid w:val="005F0BF0"/>
    <w:rsid w:val="00602619"/>
    <w:rsid w:val="00621AC8"/>
    <w:rsid w:val="00625592"/>
    <w:rsid w:val="0063164C"/>
    <w:rsid w:val="006461A0"/>
    <w:rsid w:val="00662AB2"/>
    <w:rsid w:val="00665495"/>
    <w:rsid w:val="006766BE"/>
    <w:rsid w:val="006803F4"/>
    <w:rsid w:val="006A2DFB"/>
    <w:rsid w:val="006B6A25"/>
    <w:rsid w:val="00703AC5"/>
    <w:rsid w:val="00721C89"/>
    <w:rsid w:val="007258CA"/>
    <w:rsid w:val="007321F9"/>
    <w:rsid w:val="007343AC"/>
    <w:rsid w:val="00751EBC"/>
    <w:rsid w:val="007627F0"/>
    <w:rsid w:val="00763CA4"/>
    <w:rsid w:val="00764D18"/>
    <w:rsid w:val="007731A7"/>
    <w:rsid w:val="00774D37"/>
    <w:rsid w:val="007760EF"/>
    <w:rsid w:val="007840B6"/>
    <w:rsid w:val="0079145F"/>
    <w:rsid w:val="007963E5"/>
    <w:rsid w:val="007A5313"/>
    <w:rsid w:val="007A7F92"/>
    <w:rsid w:val="007C4535"/>
    <w:rsid w:val="007C79B8"/>
    <w:rsid w:val="007D608F"/>
    <w:rsid w:val="007E1726"/>
    <w:rsid w:val="007E682D"/>
    <w:rsid w:val="007F3358"/>
    <w:rsid w:val="008002B9"/>
    <w:rsid w:val="008135EA"/>
    <w:rsid w:val="00813E02"/>
    <w:rsid w:val="00827E85"/>
    <w:rsid w:val="00850EEF"/>
    <w:rsid w:val="00861F95"/>
    <w:rsid w:val="008724F2"/>
    <w:rsid w:val="008735D7"/>
    <w:rsid w:val="008756F3"/>
    <w:rsid w:val="00890AC9"/>
    <w:rsid w:val="008976F7"/>
    <w:rsid w:val="00897C27"/>
    <w:rsid w:val="008A229A"/>
    <w:rsid w:val="008A2BFA"/>
    <w:rsid w:val="008A609C"/>
    <w:rsid w:val="008B2126"/>
    <w:rsid w:val="008D4E98"/>
    <w:rsid w:val="008D67CC"/>
    <w:rsid w:val="008D7D23"/>
    <w:rsid w:val="008F4F09"/>
    <w:rsid w:val="009023B9"/>
    <w:rsid w:val="009426D1"/>
    <w:rsid w:val="0095568B"/>
    <w:rsid w:val="009577D1"/>
    <w:rsid w:val="0097038D"/>
    <w:rsid w:val="00972CD2"/>
    <w:rsid w:val="00984855"/>
    <w:rsid w:val="009860BB"/>
    <w:rsid w:val="0098658F"/>
    <w:rsid w:val="00986BB3"/>
    <w:rsid w:val="009A6624"/>
    <w:rsid w:val="009B6503"/>
    <w:rsid w:val="009B6D7D"/>
    <w:rsid w:val="009C332A"/>
    <w:rsid w:val="009D2F12"/>
    <w:rsid w:val="009E1020"/>
    <w:rsid w:val="009E5418"/>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528D"/>
    <w:rsid w:val="00B76552"/>
    <w:rsid w:val="00B77045"/>
    <w:rsid w:val="00B93A43"/>
    <w:rsid w:val="00B960DC"/>
    <w:rsid w:val="00BB05D4"/>
    <w:rsid w:val="00BC51AF"/>
    <w:rsid w:val="00BE2B63"/>
    <w:rsid w:val="00BE6C06"/>
    <w:rsid w:val="00BE7B8A"/>
    <w:rsid w:val="00C07845"/>
    <w:rsid w:val="00C273A0"/>
    <w:rsid w:val="00C31ACE"/>
    <w:rsid w:val="00C406DC"/>
    <w:rsid w:val="00C42727"/>
    <w:rsid w:val="00C61459"/>
    <w:rsid w:val="00C642E2"/>
    <w:rsid w:val="00C70ADB"/>
    <w:rsid w:val="00C71701"/>
    <w:rsid w:val="00C75AEC"/>
    <w:rsid w:val="00C950CE"/>
    <w:rsid w:val="00CA1B30"/>
    <w:rsid w:val="00CA4CD6"/>
    <w:rsid w:val="00CA73A3"/>
    <w:rsid w:val="00CB3548"/>
    <w:rsid w:val="00CC2C07"/>
    <w:rsid w:val="00CC5C70"/>
    <w:rsid w:val="00CD0299"/>
    <w:rsid w:val="00CE1FBC"/>
    <w:rsid w:val="00CE3408"/>
    <w:rsid w:val="00CE644F"/>
    <w:rsid w:val="00CF2FC6"/>
    <w:rsid w:val="00CF4CFD"/>
    <w:rsid w:val="00D04688"/>
    <w:rsid w:val="00D0656E"/>
    <w:rsid w:val="00D12DF3"/>
    <w:rsid w:val="00D154EB"/>
    <w:rsid w:val="00D22CE8"/>
    <w:rsid w:val="00D2635F"/>
    <w:rsid w:val="00D420B6"/>
    <w:rsid w:val="00D627A9"/>
    <w:rsid w:val="00D80AEF"/>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7CBB"/>
    <w:rsid w:val="00E6273C"/>
    <w:rsid w:val="00E665A5"/>
    <w:rsid w:val="00E715B0"/>
    <w:rsid w:val="00E724F4"/>
    <w:rsid w:val="00E7398C"/>
    <w:rsid w:val="00E74996"/>
    <w:rsid w:val="00E803AF"/>
    <w:rsid w:val="00E84DAF"/>
    <w:rsid w:val="00EA052A"/>
    <w:rsid w:val="00EB6F13"/>
    <w:rsid w:val="00EE1C1F"/>
    <w:rsid w:val="00EE6BEA"/>
    <w:rsid w:val="00F070CE"/>
    <w:rsid w:val="00F13C3E"/>
    <w:rsid w:val="00F17BE9"/>
    <w:rsid w:val="00F21CA5"/>
    <w:rsid w:val="00F3027E"/>
    <w:rsid w:val="00F33F59"/>
    <w:rsid w:val="00F433F3"/>
    <w:rsid w:val="00F512BA"/>
    <w:rsid w:val="00F54554"/>
    <w:rsid w:val="00F54F8F"/>
    <w:rsid w:val="00F57270"/>
    <w:rsid w:val="00F60878"/>
    <w:rsid w:val="00F6242A"/>
    <w:rsid w:val="00F858A5"/>
    <w:rsid w:val="00F8723D"/>
    <w:rsid w:val="00FA65E0"/>
    <w:rsid w:val="00FB368B"/>
    <w:rsid w:val="00FB5B8A"/>
    <w:rsid w:val="00FC5404"/>
    <w:rsid w:val="00FD5C71"/>
    <w:rsid w:val="00FE613A"/>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7</Pages>
  <Words>7771</Words>
  <Characters>44298</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4</cp:revision>
  <dcterms:created xsi:type="dcterms:W3CDTF">2026-05-26T11:29:00Z</dcterms:created>
  <dcterms:modified xsi:type="dcterms:W3CDTF">2026-05-26T18:39:00Z</dcterms:modified>
</cp:coreProperties>
</file>