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right"/>
      </w:pPr>
      <w:r>
        <w:rPr>
          <w:rFonts w:ascii="Arial" w:hAnsi="Arial"/>
          <w:b/>
          <w:i w:val="0"/>
          <w:sz w:val="22"/>
        </w:rPr>
        <w:t>Dr Thomas Moran</w:t>
      </w:r>
    </w:p>
    <w:p>
      <w:pPr>
        <w:spacing w:after="120" w:line="240" w:lineRule="auto"/>
        <w:jc w:val="right"/>
      </w:pPr>
      <w:r>
        <w:rPr>
          <w:rFonts w:ascii="Arial" w:hAnsi="Arial"/>
          <w:b w:val="0"/>
          <w:i w:val="0"/>
          <w:sz w:val="22"/>
        </w:rPr>
        <w:t>Department of Cardiology</w:t>
      </w:r>
    </w:p>
    <w:p>
      <w:pPr>
        <w:spacing w:after="120" w:line="240" w:lineRule="auto"/>
        <w:jc w:val="right"/>
      </w:pPr>
      <w:r>
        <w:rPr>
          <w:rFonts w:ascii="Arial" w:hAnsi="Arial"/>
          <w:b w:val="0"/>
          <w:i w:val="0"/>
          <w:sz w:val="22"/>
        </w:rPr>
        <w:t>Royal Hobart Hospital</w:t>
      </w:r>
    </w:p>
    <w:p>
      <w:pPr>
        <w:spacing w:after="120" w:line="240" w:lineRule="auto"/>
        <w:jc w:val="right"/>
      </w:pPr>
      <w:r>
        <w:rPr>
          <w:rFonts w:ascii="Arial" w:hAnsi="Arial"/>
          <w:b w:val="0"/>
          <w:i w:val="0"/>
          <w:sz w:val="22"/>
        </w:rPr>
        <w:t>48 Liverpool Street, Hobart TAS 7000, Australia</w:t>
      </w:r>
    </w:p>
    <w:p>
      <w:pPr>
        <w:spacing w:after="360" w:line="240" w:lineRule="auto"/>
        <w:jc w:val="right"/>
      </w:pPr>
      <w:r>
        <w:rPr>
          <w:rFonts w:ascii="Arial" w:hAnsi="Arial"/>
          <w:b w:val="0"/>
          <w:i w:val="0"/>
          <w:sz w:val="22"/>
        </w:rPr>
        <w:t>thomas.moran@ths.tas.gov.au</w:t>
      </w:r>
    </w:p>
    <w:p>
      <w:pPr>
        <w:spacing w:after="360" w:line="240" w:lineRule="auto"/>
      </w:pPr>
      <w:r>
        <w:rPr>
          <w:rFonts w:ascii="Arial" w:hAnsi="Arial"/>
          <w:b w:val="0"/>
          <w:i w:val="0"/>
          <w:sz w:val="22"/>
        </w:rPr>
        <w:t>26 April 2026</w:t>
      </w:r>
    </w:p>
    <w:p>
      <w:pPr>
        <w:spacing w:after="120" w:line="240" w:lineRule="auto"/>
      </w:pPr>
      <w:r>
        <w:rPr>
          <w:rFonts w:ascii="Arial" w:hAnsi="Arial"/>
          <w:b w:val="0"/>
          <w:i w:val="0"/>
          <w:sz w:val="22"/>
        </w:rPr>
        <w:t>The Editors</w:t>
      </w:r>
    </w:p>
    <w:p>
      <w:pPr>
        <w:spacing w:after="120" w:line="240" w:lineRule="auto"/>
      </w:pPr>
      <w:r>
        <w:rPr>
          <w:rFonts w:ascii="Arial" w:hAnsi="Arial"/>
          <w:b w:val="0"/>
          <w:i w:val="0"/>
          <w:sz w:val="22"/>
        </w:rPr>
        <w:t>NEJM AI</w:t>
      </w:r>
    </w:p>
    <w:p>
      <w:pPr>
        <w:spacing w:after="120" w:line="240" w:lineRule="auto"/>
      </w:pPr>
      <w:r>
        <w:rPr>
          <w:rFonts w:ascii="Arial" w:hAnsi="Arial"/>
          <w:b w:val="0"/>
          <w:i w:val="0"/>
          <w:sz w:val="22"/>
        </w:rPr>
        <w:t>Massachusetts Medical Society</w:t>
      </w:r>
    </w:p>
    <w:p>
      <w:pPr>
        <w:spacing w:after="360" w:line="240" w:lineRule="auto"/>
      </w:pPr>
      <w:r>
        <w:rPr>
          <w:rFonts w:ascii="Arial" w:hAnsi="Arial"/>
          <w:b w:val="0"/>
          <w:i w:val="0"/>
          <w:sz w:val="22"/>
        </w:rPr>
        <w:t>860 Winter Street, Waltham MA 02451, USA</w:t>
      </w:r>
    </w:p>
    <w:p>
      <w:pPr>
        <w:spacing w:after="360" w:line="240" w:lineRule="auto"/>
      </w:pPr>
      <w:r>
        <w:rPr>
          <w:rFonts w:ascii="Arial" w:hAnsi="Arial"/>
          <w:b/>
          <w:i w:val="0"/>
          <w:sz w:val="22"/>
        </w:rPr>
        <w:t>Re: Submission of Original Article — "Clinical Evaluation of SPICY-AI in a Rapid Access Chest Pain Clinic: A Comparative Validation Study of a Novel, Locally Deployed AI Model versus Physicians and GPT-4o"</w:t>
      </w:r>
    </w:p>
    <w:p>
      <w:pPr>
        <w:spacing w:after="120" w:line="240" w:lineRule="auto"/>
      </w:pPr>
      <w:r>
        <w:rPr>
          <w:rFonts w:ascii="Arial" w:hAnsi="Arial"/>
          <w:b w:val="0"/>
          <w:i w:val="0"/>
          <w:sz w:val="22"/>
        </w:rPr>
        <w:t>Dear Editors,</w:t>
      </w:r>
    </w:p>
    <w:p>
      <w:pPr>
        <w:spacing w:after="120" w:line="240" w:lineRule="auto"/>
      </w:pPr>
      <w:r>
        <w:rPr>
          <w:rFonts w:ascii="Arial" w:hAnsi="Arial"/>
          <w:b w:val="0"/>
          <w:i w:val="0"/>
          <w:sz w:val="22"/>
        </w:rPr>
      </w:r>
    </w:p>
    <w:p>
      <w:pPr>
        <w:spacing w:after="120" w:line="240" w:lineRule="auto"/>
      </w:pPr>
      <w:r>
        <w:rPr>
          <w:rFonts w:ascii="Arial" w:hAnsi="Arial"/>
          <w:b w:val="0"/>
          <w:i w:val="0"/>
          <w:sz w:val="22"/>
        </w:rPr>
        <w:t>We are pleased to submit the above Original Article for consideration by NEJM AI. Our study reports the first prospective, blinded validation of a locally deployed, cardiology-specific retrieval-augmented generation large language model (RAG-LLM) in a real-world Rapid Access Chest Pain Clinic (RACPC), evaluated across 50 consecutive cases and 120 clinical plans.</w:t>
      </w:r>
    </w:p>
    <w:p>
      <w:pPr>
        <w:spacing w:after="120" w:line="240" w:lineRule="auto"/>
      </w:pPr>
      <w:r>
        <w:rPr>
          <w:rFonts w:ascii="Arial" w:hAnsi="Arial"/>
          <w:b w:val="0"/>
          <w:i w:val="0"/>
          <w:sz w:val="22"/>
        </w:rPr>
      </w:r>
    </w:p>
    <w:p>
      <w:pPr>
        <w:spacing w:after="120" w:line="240" w:lineRule="auto"/>
      </w:pPr>
      <w:r>
        <w:rPr>
          <w:rFonts w:ascii="Arial" w:hAnsi="Arial"/>
          <w:b w:val="0"/>
          <w:i w:val="0"/>
          <w:sz w:val="22"/>
        </w:rPr>
        <w:t>Key findings:</w:t>
      </w:r>
    </w:p>
    <w:p>
      <w:pPr>
        <w:spacing w:after="120" w:line="240" w:lineRule="auto"/>
      </w:pPr>
      <w:r>
        <w:rPr>
          <w:rFonts w:ascii="Arial" w:hAnsi="Arial"/>
          <w:b w:val="0"/>
          <w:i w:val="0"/>
          <w:sz w:val="22"/>
        </w:rPr>
        <w:t>• SPICY-AI outperformed both physicians and GPT-4o on every evaluated Likert domain — diagnostic accuracy, management appropriateness, documentation completeness, and documentation clarity — with all 12 pairwise Mann-Whitney U comparisons significant at p &lt; 0.001.</w:t>
      </w:r>
    </w:p>
    <w:p>
      <w:pPr>
        <w:spacing w:after="120" w:line="240" w:lineRule="auto"/>
      </w:pPr>
      <w:r>
        <w:rPr>
          <w:rFonts w:ascii="Arial" w:hAnsi="Arial"/>
          <w:b w:val="0"/>
          <w:i w:val="0"/>
          <w:sz w:val="22"/>
        </w:rPr>
        <w:t>• GPT-4o consistently outperformed physicians across all four domains (all p &lt; 0.001), confirming that structured LLM support — cloud or on-premises — improves documentation and management planning.</w:t>
      </w:r>
    </w:p>
    <w:p>
      <w:pPr>
        <w:spacing w:after="120" w:line="240" w:lineRule="auto"/>
      </w:pPr>
      <w:r>
        <w:rPr>
          <w:rFonts w:ascii="Arial" w:hAnsi="Arial"/>
          <w:b w:val="0"/>
          <w:i w:val="0"/>
          <w:sz w:val="22"/>
        </w:rPr>
        <w:t>• Major errors were equally rare across all three groups (1/40 in each; Fisher p = 1.00). Minor errors/hallucinations were numerically lowest for SPICY-AI (12.5%) but not significantly lower than GPT-4o (17.5%) or physicians (22.5%).</w:t>
      </w:r>
    </w:p>
    <w:p>
      <w:pPr>
        <w:spacing w:after="120" w:line="240" w:lineRule="auto"/>
      </w:pPr>
      <w:r>
        <w:rPr>
          <w:rFonts w:ascii="Arial" w:hAnsi="Arial"/>
          <w:b w:val="0"/>
          <w:i w:val="0"/>
          <w:sz w:val="22"/>
        </w:rPr>
      </w:r>
    </w:p>
    <w:p>
      <w:pPr>
        <w:spacing w:after="120" w:line="240" w:lineRule="auto"/>
      </w:pPr>
      <w:r>
        <w:rPr>
          <w:rFonts w:ascii="Arial" w:hAnsi="Arial"/>
          <w:b w:val="0"/>
          <w:i w:val="0"/>
          <w:sz w:val="22"/>
        </w:rPr>
        <w:t>We believe this manuscript is directly relevant to NEJM AI for three reasons:</w:t>
      </w:r>
    </w:p>
    <w:p>
      <w:pPr>
        <w:spacing w:after="120" w:line="240" w:lineRule="auto"/>
      </w:pPr>
      <w:r>
        <w:rPr>
          <w:rFonts w:ascii="Arial" w:hAnsi="Arial"/>
          <w:b w:val="0"/>
          <w:i w:val="0"/>
          <w:sz w:val="22"/>
        </w:rPr>
      </w:r>
    </w:p>
    <w:p>
      <w:pPr>
        <w:spacing w:after="120" w:line="240" w:lineRule="auto"/>
      </w:pPr>
      <w:r>
        <w:rPr>
          <w:rFonts w:ascii="Arial" w:hAnsi="Arial"/>
          <w:b w:val="0"/>
          <w:i w:val="0"/>
          <w:sz w:val="22"/>
        </w:rPr>
        <w:t>1. First-in-class evidence. To our knowledge this is the first blinded comparison of a specialty-specific, on-premises RAG-LLM against both physicians and a frontier cloud LLM in a real clinical workflow. The decisive performance advantage of SPICY-AI argues that domain-tuned retrieval is an orthogonal axis of improvement to base-model scale.</w:t>
      </w:r>
    </w:p>
    <w:p>
      <w:pPr>
        <w:spacing w:after="120" w:line="240" w:lineRule="auto"/>
      </w:pPr>
      <w:r>
        <w:rPr>
          <w:rFonts w:ascii="Arial" w:hAnsi="Arial"/>
          <w:b w:val="0"/>
          <w:i w:val="0"/>
          <w:sz w:val="22"/>
        </w:rPr>
      </w:r>
    </w:p>
    <w:p>
      <w:pPr>
        <w:spacing w:after="120" w:line="240" w:lineRule="auto"/>
      </w:pPr>
      <w:r>
        <w:rPr>
          <w:rFonts w:ascii="Arial" w:hAnsi="Arial"/>
          <w:b w:val="0"/>
          <w:i w:val="0"/>
          <w:sz w:val="22"/>
        </w:rPr>
        <w:t>2. Regulatory and governance timeliness. With the EU AI Act in force (August 2024), the US FDA PCCP guidance finalised (January 2025), and the Australian TGA SaMD framework advancing, the case for locally deployed clinical LLMs has grown stronger — SPICY-AI demonstrates that an on-premises, guideline-grounded system can materially exceed both physicians and a leading cloud model.</w:t>
      </w:r>
    </w:p>
    <w:p>
      <w:pPr>
        <w:spacing w:after="120" w:line="240" w:lineRule="auto"/>
      </w:pPr>
      <w:r>
        <w:rPr>
          <w:rFonts w:ascii="Arial" w:hAnsi="Arial"/>
          <w:b w:val="0"/>
          <w:i w:val="0"/>
          <w:sz w:val="22"/>
        </w:rPr>
      </w:r>
    </w:p>
    <w:p>
      <w:pPr>
        <w:spacing w:after="120" w:line="240" w:lineRule="auto"/>
      </w:pPr>
      <w:r>
        <w:rPr>
          <w:rFonts w:ascii="Arial" w:hAnsi="Arial"/>
          <w:b w:val="0"/>
          <w:i w:val="0"/>
          <w:sz w:val="22"/>
        </w:rPr>
        <w:t>3. Fit to scope. The manuscript evaluates an AI-enabled clinical workflow in a real patient-care context with blinded scoring, pre-specified outcomes, and full transparency around the single-reviewer limitation and planned multi-centre, multi-rater replication.</w:t>
      </w:r>
    </w:p>
    <w:p>
      <w:pPr>
        <w:spacing w:after="120" w:line="240" w:lineRule="auto"/>
      </w:pPr>
      <w:r>
        <w:rPr>
          <w:rFonts w:ascii="Arial" w:hAnsi="Arial"/>
          <w:b w:val="0"/>
          <w:i w:val="0"/>
          <w:sz w:val="22"/>
        </w:rPr>
      </w:r>
    </w:p>
    <w:p>
      <w:pPr>
        <w:spacing w:after="120" w:line="240" w:lineRule="auto"/>
      </w:pPr>
      <w:r>
        <w:rPr>
          <w:rFonts w:ascii="Arial" w:hAnsi="Arial"/>
          <w:b w:val="0"/>
          <w:i w:val="0"/>
          <w:sz w:val="22"/>
        </w:rPr>
        <w:t>The manuscript is ~3,500 words (body) with a ~310-word structured abstract, 3 figures (Figure 1A/1B, Figure 2, Figure 3 pipeline), and 2 tables. This work has not been published previously, is not under consideration elsewhere, and all authors have reviewed and approved the final submission. We declare no conflicts of interest. Ethical approval was obtained from the Royal Hobart Hospital Human Research Ethics Committee (HREC 2025_ETH01927).</w:t>
      </w:r>
    </w:p>
    <w:p>
      <w:pPr>
        <w:spacing w:after="120" w:line="240" w:lineRule="auto"/>
      </w:pPr>
      <w:r>
        <w:rPr>
          <w:rFonts w:ascii="Arial" w:hAnsi="Arial"/>
          <w:b w:val="0"/>
          <w:i w:val="0"/>
          <w:sz w:val="22"/>
        </w:rPr>
      </w:r>
    </w:p>
    <w:p>
      <w:pPr>
        <w:spacing w:after="120" w:line="240" w:lineRule="auto"/>
      </w:pPr>
      <w:r>
        <w:rPr>
          <w:rFonts w:ascii="Arial" w:hAnsi="Arial"/>
          <w:b w:val="0"/>
          <w:i w:val="0"/>
          <w:sz w:val="22"/>
        </w:rPr>
        <w:t>We are happy to provide the full SPICY-AI knowledge base manifest, prompt templates, and analysis code to reviewers on request, subject to the data governance constraints described in our Data Sharing Statement.</w:t>
      </w:r>
    </w:p>
    <w:p>
      <w:pPr>
        <w:spacing w:after="120" w:line="240" w:lineRule="auto"/>
      </w:pPr>
      <w:r>
        <w:rPr>
          <w:rFonts w:ascii="Arial" w:hAnsi="Arial"/>
          <w:b w:val="0"/>
          <w:i w:val="0"/>
          <w:sz w:val="22"/>
        </w:rPr>
      </w:r>
    </w:p>
    <w:p>
      <w:pPr>
        <w:spacing w:after="480" w:line="240" w:lineRule="auto"/>
      </w:pPr>
      <w:r>
        <w:rPr>
          <w:rFonts w:ascii="Arial" w:hAnsi="Arial"/>
          <w:b w:val="0"/>
          <w:i w:val="0"/>
          <w:sz w:val="22"/>
        </w:rPr>
        <w:t>Thank you for considering our work.</w:t>
      </w:r>
    </w:p>
    <w:p>
      <w:pPr>
        <w:spacing w:after="120" w:line="240" w:lineRule="auto"/>
      </w:pPr>
      <w:r>
        <w:rPr>
          <w:rFonts w:ascii="Arial" w:hAnsi="Arial"/>
          <w:b w:val="0"/>
          <w:i w:val="0"/>
          <w:sz w:val="22"/>
        </w:rPr>
        <w:t>Sincerely,</w:t>
      </w:r>
    </w:p>
    <w:p>
      <w:pPr>
        <w:spacing w:after="120" w:line="240" w:lineRule="auto"/>
      </w:pPr>
      <w:r>
        <w:rPr>
          <w:rFonts w:ascii="Arial" w:hAnsi="Arial"/>
          <w:b w:val="0"/>
          <w:i w:val="0"/>
          <w:sz w:val="22"/>
        </w:rPr>
      </w:r>
    </w:p>
    <w:p>
      <w:pPr>
        <w:spacing w:after="120" w:line="240" w:lineRule="auto"/>
      </w:pPr>
      <w:r>
        <w:rPr>
          <w:rFonts w:ascii="Arial" w:hAnsi="Arial"/>
          <w:b/>
          <w:i w:val="0"/>
          <w:sz w:val="22"/>
        </w:rPr>
        <w:t>Dr Thomas Moran, on behalf of the authors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