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</w:pPr>
      <w:r>
        <w:rPr>
          <w:rFonts w:ascii="Arial" w:hAnsi="Arial"/>
          <w:b/>
          <w:sz w:val="28"/>
        </w:rPr>
        <w:t>Figure legends</w:t>
      </w:r>
    </w:p>
    <w:p>
      <w:pPr>
        <w:spacing w:after="120" w:line="360" w:lineRule="auto"/>
      </w:pPr>
      <w:r>
        <w:rPr>
          <w:rFonts w:ascii="Arial" w:hAnsi="Arial"/>
          <w:b/>
          <w:sz w:val="24"/>
        </w:rPr>
        <w:t>Figure 1.</w:t>
      </w:r>
    </w:p>
    <w:p>
      <w:pPr>
        <w:spacing w:after="240" w:line="360" w:lineRule="auto"/>
      </w:pPr>
      <w:r>
        <w:rPr>
          <w:rFonts w:ascii="Arial" w:hAnsi="Arial"/>
          <w:b w:val="0"/>
          <w:sz w:val="22"/>
        </w:rPr>
        <w:t>(A) Mean Likert scores (± SD) for each of the four clinical evaluation domains across the three groups (Physician, SPICY-AI, GPT-4o; n = 50 per group). Statistical significance of pairwise Mann-Whitney U tests is shown above each comparison: *** p &lt; 0.001, ** p &lt; 0.01. Exact p-values are tabulated in Table 2. (B) Minor-error/hallucination and major-error rates (as a percentage of 50 plans) per group; pairwise Fisher exact tests yielded no significant differences (all p &gt; 0.05).</w:t>
      </w:r>
    </w:p>
    <w:p>
      <w:pPr>
        <w:spacing w:after="120" w:line="360" w:lineRule="auto"/>
      </w:pPr>
      <w:r>
        <w:rPr>
          <w:rFonts w:ascii="Arial" w:hAnsi="Arial"/>
          <w:b/>
          <w:sz w:val="24"/>
        </w:rPr>
        <w:t>Figure 2.</w:t>
      </w:r>
    </w:p>
    <w:p>
      <w:pPr>
        <w:spacing w:after="240" w:line="360" w:lineRule="auto"/>
      </w:pPr>
      <w:r>
        <w:rPr>
          <w:rFonts w:ascii="Arial" w:hAnsi="Arial"/>
          <w:b w:val="0"/>
          <w:sz w:val="22"/>
        </w:rPr>
        <w:t>Distribution of Likert scores by domain across the three groups. Box plots show the median (centre line), interquartile range (box), and 1.5 × IQR whiskers; jittered points show individual plans (n = 50 per group).</w:t>
      </w:r>
    </w:p>
    <w:p>
      <w:pPr>
        <w:spacing w:after="120" w:line="360" w:lineRule="auto"/>
      </w:pPr>
      <w:r>
        <w:rPr>
          <w:rFonts w:ascii="Arial" w:hAnsi="Arial"/>
          <w:b/>
          <w:sz w:val="24"/>
        </w:rPr>
        <w:t>Figure 3.</w:t>
      </w:r>
    </w:p>
    <w:p>
      <w:pPr>
        <w:spacing w:after="240" w:line="360" w:lineRule="auto"/>
      </w:pPr>
      <w:r>
        <w:rPr>
          <w:rFonts w:ascii="Arial" w:hAnsi="Arial"/>
          <w:b w:val="0"/>
          <w:sz w:val="22"/>
        </w:rPr>
        <w:t>SPICY-AI clinical reasoning pipeline. De-identified RACPC clinical context is assembled into a structured prompt, passed to a locally deployed Llama-3 70B base model, and grounded at inference time by a retrieval-augmented generation layer drawing on CSANZ/ESC/AHA guidelines and local formulary/pathways. Structured chain-of-thought reasoning produces a management plan that is reviewed by the treating clinician. Every plan in this study was subsequently scored in the blinded Likert evaluation shown at the foot of the figure.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