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Arial" w:cs="Arial" w:eastAsia="Arial" w:hAnsi="Arial"/>
          <w:sz w:val="24"/>
          <w:szCs w:val="22"/>
        </w:rPr>
        <w:t xml:space="preserve"/>
      </w:r>
    </w:p>
    <w:p>
      <w:pPr>
        <w:spacing w:after="200" w:before="720" w:line="480" w:lineRule="auto"/>
        <w:jc w:val="center"/>
      </w:pPr>
      <w:r>
        <w:rPr>
          <w:rFonts w:ascii="Arial" w:cs="Arial" w:eastAsia="Arial" w:hAnsi="Arial"/>
          <w:b/>
          <w:bCs/>
          <w:color w:val="1F3864"/>
          <w:sz w:val="24"/>
          <w:szCs w:val="34"/>
        </w:rPr>
        <w:t xml:space="preserve">Clinical Evaluation of SPICY-AI in a Rapid Access Chest Pain Clinic:</w:t>
      </w:r>
    </w:p>
    <w:p>
      <w:pPr>
        <w:spacing w:after="400" w:before="0" w:line="480" w:lineRule="auto"/>
        <w:jc w:val="center"/>
      </w:pPr>
      <w:r>
        <w:rPr>
          <w:rFonts w:ascii="Arial" w:cs="Arial" w:eastAsia="Arial" w:hAnsi="Arial"/>
          <w:b/>
          <w:bCs/>
          <w:color w:val="2E4B8E"/>
          <w:sz w:val="24"/>
          <w:szCs w:val="28"/>
        </w:rPr>
        <w:t xml:space="preserve">A Comparative Validation Study of a Novel, Locally Deployed AI Model versus Physicians and GPT-4o</w:t>
      </w:r>
    </w:p>
    <w:p>
      <w:pPr>
        <w:spacing w:after="80" w:before="200" w:line="480" w:lineRule="auto"/>
        <w:jc w:val="center"/>
      </w:pPr>
      <w:r>
        <w:rPr>
          <w:rFonts w:ascii="Arial" w:cs="Arial" w:eastAsia="Arial" w:hAnsi="Arial"/>
          <w:b/>
          <w:bCs/>
          <w:sz w:val="24"/>
          <w:szCs w:val="22"/>
        </w:rPr>
        <w:t xml:space="preserve">Dr Thomas Moran¹  |  Dr Conor Lees¹  |  Dr William Martin¹  |  Dr Andrew Black¹</w:t>
      </w:r>
    </w:p>
    <w:p>
      <w:pPr>
        <w:spacing w:after="80" w:before="0" w:line="480" w:lineRule="auto"/>
        <w:jc w:val="center"/>
      </w:pPr>
      <w:r>
        <w:rPr>
          <w:rFonts w:ascii="Arial" w:cs="Arial" w:eastAsia="Arial" w:hAnsi="Arial"/>
          <w:i/>
          <w:iCs/>
          <w:color w:val="555555"/>
          <w:sz w:val="24"/>
          <w:szCs w:val="20"/>
        </w:rPr>
        <w:t xml:space="preserve">¹ Department of Cardiology, Royal Hobart Hospital, Hobart, Tasmania, Australia</w:t>
      </w:r>
    </w:p>
    <w:p>
      <w:pPr>
        <w:spacing w:after="80" w:before="200" w:line="480" w:lineRule="auto"/>
        <w:jc w:val="center"/>
      </w:pPr>
      <w:r>
        <w:rPr>
          <w:rFonts w:ascii="Arial" w:cs="Arial" w:eastAsia="Arial" w:hAnsi="Arial"/>
          <w:b/>
          <w:bCs/>
          <w:sz w:val="24"/>
          <w:szCs w:val="20"/>
        </w:rPr>
        <w:t xml:space="preserve">Corresponding author:</w:t>
      </w:r>
    </w:p>
    <w:p>
      <w:pPr>
        <w:spacing w:after="80" w:before="0" w:line="480" w:lineRule="auto"/>
        <w:jc w:val="center"/>
      </w:pPr>
      <w:r>
        <w:rPr>
          <w:rFonts w:ascii="Arial" w:cs="Arial" w:eastAsia="Arial" w:hAnsi="Arial"/>
          <w:sz w:val="24"/>
          <w:szCs w:val="20"/>
        </w:rPr>
        <w:t xml:space="preserve">Dr Thomas Moran</w:t>
      </w:r>
    </w:p>
    <w:p>
      <w:pPr>
        <w:spacing w:after="80" w:before="0" w:line="480" w:lineRule="auto"/>
        <w:jc w:val="center"/>
      </w:pPr>
      <w:r>
        <w:rPr>
          <w:rFonts w:ascii="Arial" w:cs="Arial" w:eastAsia="Arial" w:hAnsi="Arial"/>
          <w:sz w:val="24"/>
          <w:szCs w:val="20"/>
        </w:rPr>
        <w:t xml:space="preserve">Department of Cardiology, Royal Hobart Hospital</w:t>
      </w:r>
    </w:p>
    <w:p>
      <w:pPr>
        <w:spacing w:after="80" w:before="0" w:line="480" w:lineRule="auto"/>
        <w:jc w:val="center"/>
      </w:pPr>
      <w:r>
        <w:rPr>
          <w:rFonts w:ascii="Arial" w:cs="Arial" w:eastAsia="Arial" w:hAnsi="Arial"/>
          <w:sz w:val="24"/>
          <w:szCs w:val="20"/>
        </w:rPr>
        <w:t xml:space="preserve">Hobart, Tasmania 7000, Australia</w:t>
      </w:r>
    </w:p>
    <w:p>
      <w:pPr>
        <w:spacing w:after="80" w:before="200" w:line="480" w:lineRule="auto"/>
        <w:jc w:val="center"/>
      </w:pPr>
      <w:r>
        <w:rPr>
          <w:rFonts w:ascii="Arial" w:cs="Arial" w:eastAsia="Arial" w:hAnsi="Arial"/>
          <w:b/>
          <w:bCs/>
          <w:color w:val="2E4B8E"/>
          <w:sz w:val="24"/>
          <w:szCs w:val="20"/>
        </w:rPr>
        <w:t xml:space="preserve">Ethics Approval: HREC 2025_ETH01927</w:t>
      </w:r>
    </w:p>
    <w:p>
      <w:pPr>
        <w:spacing w:after="80" w:before="0" w:line="480" w:lineRule="auto"/>
        <w:jc w:val="center"/>
      </w:pPr>
      <w:r>
        <w:rPr>
          <w:rFonts w:ascii="Arial" w:cs="Arial" w:eastAsia="Arial" w:hAnsi="Arial"/>
          <w:color w:val="555555"/>
          <w:sz w:val="24"/>
          <w:szCs w:val="20"/>
        </w:rPr>
        <w:t xml:space="preserve">Royal Hobart Hospital Human Research Ethics Committee</w:t>
      </w:r>
    </w:p>
    <w:p>
      <w:pPr>
        <w:spacing w:after="80" w:before="200" w:line="480" w:lineRule="auto"/>
        <w:jc w:val="center"/>
      </w:pPr>
      <w:r>
        <w:rPr>
          <w:rFonts w:ascii="Arial" w:hAnsi="Arial" w:cs="Arial" w:eastAsia="Arial"/>
          <w:b w:val="0"/>
          <w:i w:val="0"/>
          <w:sz w:val="24"/>
        </w:rPr>
        <w:t>Word count: ~3,500 (excluding abstract, references, tables, and figure legends)</w:t>
      </w:r>
    </w:p>
    <w:p>
      <w:pPr>
        <w:spacing w:line="480" w:lineRule="auto"/>
      </w:pPr>
      <w:r>
        <w:rPr>
          <w:rFonts w:ascii="Arial" w:hAnsi="Arial" w:cs="Arial" w:eastAsia="Arial"/>
          <w:sz w:val="24"/>
        </w:rPr>
        <w:br w:type="page"/>
      </w:r>
    </w:p>
    <w:p>
      <w:pPr>
        <w:pStyle w:val="Heading1"/>
        <w:spacing w:after="140" w:before="280" w:line="480" w:lineRule="auto"/>
      </w:pPr>
      <w:r>
        <w:rPr>
          <w:rFonts w:ascii="Arial" w:cs="Arial" w:eastAsia="Arial" w:hAnsi="Arial"/>
          <w:b/>
          <w:bCs/>
          <w:sz w:val="24"/>
        </w:rPr>
        <w:t xml:space="preserve">Abstract</w:t>
      </w:r>
    </w:p>
    <w:p>
      <w:pPr>
        <w:spacing w:after="120" w:before="80" w:line="480" w:lineRule="auto"/>
        <w:jc w:val="both"/>
      </w:pPr>
      <w:r>
        <w:rPr>
          <w:rFonts w:ascii="Arial" w:cs="Arial" w:eastAsia="Arial" w:hAnsi="Arial"/>
          <w:b/>
          <w:bCs/>
          <w:sz w:val="24"/>
          <w:szCs w:val="22"/>
        </w:rPr>
        <w:t>Background: Rapid Access Chest Pain Clinics (RACPCs) require evidence-based, protocol-driven clinical planning. SPICY-AI is a novel, locally deployed retrieval-augmented generation (RAG) large language model (LLM) developed for the RACPC setting. This study evaluated its clinical accuracy, documentation quality, and safety against physician-generated plans and GPT-4o.</w:t>
      </w:r>
      <w:r>
        <w:rPr>
          <w:rFonts w:ascii="Arial" w:cs="Arial" w:eastAsia="Arial" w:hAnsi="Arial"/>
          <w:sz w:val="24"/>
          <w:szCs w:val="22"/>
        </w:rPr>
      </w:r>
    </w:p>
    <w:p>
      <w:pPr>
        <w:spacing w:after="120" w:before="80" w:line="480" w:lineRule="auto"/>
        <w:jc w:val="both"/>
      </w:pPr>
      <w:r>
        <w:rPr>
          <w:rFonts w:ascii="Arial" w:hAnsi="Arial" w:cs="Arial" w:eastAsia="Arial"/>
          <w:b w:val="0"/>
          <w:i w:val="0"/>
          <w:sz w:val="24"/>
        </w:rPr>
        <w:t>Methods: Fifty consecutive RACPC attendances at the Royal Hobart Hospital (1 September 2024 – 31 January 2025) were included. De-identified clinical summaries were used to generate plans from SPICY-AI and GPT-4o, compared against physician-authored plans. All 150 plans were blinded and independently scored by four cardiology reviewers on four 5-point Likert domains (diagnostic accuracy, management plan appropriateness, documentation completeness, documentation clarity) and binary error flags. Pairwise comparisons used Mann-Whitney U and Fisher exact tests.</w:t>
      </w:r>
    </w:p>
    <w:p>
      <w:pPr>
        <w:spacing w:after="120" w:before="80" w:line="480" w:lineRule="auto"/>
        <w:jc w:val="both"/>
      </w:pPr>
      <w:r>
        <w:rPr>
          <w:rFonts w:ascii="Arial" w:hAnsi="Arial" w:cs="Arial" w:eastAsia="Arial"/>
          <w:b w:val="0"/>
          <w:i w:val="0"/>
          <w:sz w:val="24"/>
        </w:rPr>
        <w:t>Results: SPICY-AI achieved the highest mean Likert scores across all domains: diagnostic accuracy 4.22 ± 0.62, management appropriateness 4.20 ± 0.67, documentation completeness 4.44 ± 0.54, and documentation clarity 4.38 ± 0.57. All 12 pairwise comparisons favoured SPICY-AI &gt; GPT-4o &gt; Physician (all Holm-adjusted p ≤ 0.008). Major error rates were equivalent across groups (Physician 2%, SPICY-AI 4%, GPT-4o 4%; all Fisher p = 1.00). Minor error/hallucination rates were numerically lowest for GPT-4o (14%), intermediate for SPICY-AI (16%), and highest for physicians (18%), with no statistically significant differences.</w:t>
      </w:r>
    </w:p>
    <w:p>
      <w:pPr>
        <w:spacing w:after="120" w:before="80" w:line="480" w:lineRule="auto"/>
        <w:jc w:val="both"/>
      </w:pPr>
      <w:r>
        <w:rPr>
          <w:rFonts w:ascii="Arial" w:hAnsi="Arial" w:cs="Arial" w:eastAsia="Arial"/>
          <w:b w:val="0"/>
          <w:i w:val="0"/>
          <w:sz w:val="24"/>
        </w:rPr>
        <w:t>Conclusion: SPICY-AI produced clinical plans rated superior to both physician-authored plans and GPT-4o across every evaluated domain, with equivalent safety. These results support on-premises, domain-tuned RAG-LLMs as a pragmatic pathway for AI integration in protocolised cardiology services, and motivate a planned multi-centre replication.</w:t>
      </w:r>
    </w:p>
    <w:p>
      <w:pPr>
        <w:spacing w:line="480" w:lineRule="auto"/>
      </w:pPr>
      <w:r>
        <w:rPr>
          <w:rFonts w:ascii="Arial" w:cs="Arial" w:eastAsia="Arial" w:hAnsi="Arial"/>
          <w:sz w:val="24"/>
          <w:szCs w:val="22"/>
        </w:rPr>
        <w:t xml:space="preserve"/>
      </w:r>
    </w:p>
    <w:p>
      <w:pPr>
        <w:spacing w:after="80" w:before="80" w:line="480" w:lineRule="auto"/>
      </w:pPr>
      <w:r>
        <w:rPr>
          <w:rFonts w:ascii="Arial" w:cs="Arial" w:eastAsia="Arial" w:hAnsi="Arial"/>
          <w:b/>
          <w:bCs/>
          <w:sz w:val="24"/>
          <w:szCs w:val="22"/>
        </w:rPr>
        <w:t xml:space="preserve">Keywords: </w:t>
      </w:r>
      <w:r>
        <w:rPr>
          <w:rFonts w:ascii="Arial" w:cs="Arial" w:eastAsia="Arial" w:hAnsi="Arial"/>
          <w:i/>
          <w:iCs/>
          <w:sz w:val="24"/>
          <w:szCs w:val="22"/>
        </w:rPr>
        <w:t xml:space="preserve">Artificial intelligence; large language model; chest pain; rapid access chest pain clinic; retrieval-augmented generation; clinical decision support</w:t>
      </w:r>
    </w:p>
    <w:p>
      <w:pPr>
        <w:spacing w:line="480" w:lineRule="auto"/>
      </w:pPr>
      <w:r>
        <w:rPr>
          <w:rFonts w:ascii="Arial" w:hAnsi="Arial" w:cs="Arial" w:eastAsia="Arial"/>
          <w:sz w:val="24"/>
        </w:rPr>
        <w:br w:type="page"/>
      </w:r>
    </w:p>
    <w:p>
      <w:pPr>
        <w:pStyle w:val="Heading1"/>
        <w:spacing w:after="140" w:before="280" w:line="480" w:lineRule="auto"/>
      </w:pPr>
      <w:r>
        <w:rPr>
          <w:rFonts w:ascii="Arial" w:cs="Arial" w:eastAsia="Arial" w:hAnsi="Arial"/>
          <w:b/>
          <w:bCs/>
          <w:sz w:val="24"/>
        </w:rPr>
        <w:t xml:space="preserve">Introduction</w:t>
      </w:r>
    </w:p>
    <w:p>
      <w:pPr>
        <w:spacing w:after="120" w:before="80" w:line="480" w:lineRule="auto"/>
        <w:jc w:val="both"/>
      </w:pPr>
      <w:r>
        <w:rPr>
          <w:rFonts w:ascii="Arial" w:cs="Arial" w:eastAsia="Arial" w:hAnsi="Arial"/>
          <w:sz w:val="24"/>
          <w:szCs w:val="22"/>
        </w:rPr>
        <w:t xml:space="preserve">Rapid Access Chest Pain Clinics (RACPCs) are specialised outpatient services designed to expedite the assessment and management of patients presenting with recent-onset chest pain, particularly those at low-to-intermediate risk of acute coronary events.</w:t>
      </w:r>
      <w:r>
        <w:rPr>
          <w:rFonts w:ascii="Arial" w:cs="Arial" w:eastAsia="Arial" w:hAnsi="Arial"/>
          <w:sz w:val="24"/>
          <w:szCs w:val="20"/>
          <w:vertAlign w:val="superscript"/>
        </w:rPr>
        <w:t xml:space="preserve">1</w:t>
      </w:r>
      <w:r>
        <w:rPr>
          <w:rFonts w:ascii="Arial" w:cs="Arial" w:eastAsia="Arial" w:hAnsi="Arial"/>
          <w:sz w:val="24"/>
          <w:szCs w:val="22"/>
        </w:rPr>
        <w:t xml:space="preserve"> By providing coordinated investigations and rapid access to cardiologist review, RACPCs reduce unnecessary emergency department (ED) admissions, lower rates of unplanned re-presentations, and decrease healthcare costs compared to standard inpatient workup.</w:t>
      </w:r>
      <w:r>
        <w:rPr>
          <w:rFonts w:ascii="Arial" w:cs="Arial" w:eastAsia="Arial" w:hAnsi="Arial"/>
          <w:sz w:val="24"/>
          <w:szCs w:val="20"/>
          <w:vertAlign w:val="superscript"/>
        </w:rPr>
        <w:t xml:space="preserve">2</w:t>
      </w:r>
      <w:r>
        <w:rPr>
          <w:rFonts w:ascii="Arial" w:cs="Arial" w:eastAsia="Arial" w:hAnsi="Arial"/>
          <w:sz w:val="24"/>
          <w:szCs w:val="22"/>
        </w:rPr>
        <w:t xml:space="preserve"> Despite their efficiency, there is considerable variability in RACPC documentation standards, guideline adherence, and cardiovascular risk optimisation across clinical sites, highlighting an opportunity for systemic quality improvement.</w:t>
      </w:r>
    </w:p>
    <w:p>
      <w:pPr>
        <w:spacing w:after="120" w:before="80" w:line="480" w:lineRule="auto"/>
        <w:jc w:val="both"/>
      </w:pPr>
      <w:r>
        <w:rPr>
          <w:rFonts w:ascii="Arial" w:cs="Arial" w:eastAsia="Arial" w:hAnsi="Arial"/>
          <w:sz w:val="24"/>
          <w:szCs w:val="22"/>
        </w:rPr>
        <w:t xml:space="preserve">Large language models (LLMs) have emerged as transformative tools in clinical medicine, with a recent systematic review identifying 35 studies evaluating LLMs across the cardiovascular disease spectrum — from primary prevention and risk factor management to established coronary artery disease.</w:t>
      </w:r>
      <w:r>
        <w:rPr>
          <w:rFonts w:ascii="Arial" w:cs="Arial" w:eastAsia="Arial" w:hAnsi="Arial"/>
          <w:sz w:val="24"/>
          <w:szCs w:val="20"/>
          <w:vertAlign w:val="superscript"/>
        </w:rPr>
        <w:t xml:space="preserve">3</w:t>
      </w:r>
      <w:r>
        <w:rPr>
          <w:rFonts w:ascii="Arial" w:cs="Arial" w:eastAsia="Arial" w:hAnsi="Arial"/>
          <w:sz w:val="24"/>
          <w:szCs w:val="22"/>
        </w:rPr>
        <w:t xml:space="preserve"> LLMs have demonstrated performance equivalent to or exceeding physicians in medical licensing examinations, diagnostic reasoning, and clinical documentation, and emerging reasoning-optimised models (such as OpenAI o1, o3, and Google Gemini 2.5) have further extended this capability.</w:t>
      </w:r>
      <w:r>
        <w:rPr>
          <w:rFonts w:ascii="Arial" w:cs="Arial" w:eastAsia="Arial" w:hAnsi="Arial"/>
          <w:sz w:val="24"/>
          <w:szCs w:val="20"/>
          <w:vertAlign w:val="superscript"/>
        </w:rPr>
        <w:t xml:space="preserve">4,5</w:t>
      </w:r>
      <w:r>
        <w:rPr>
          <w:rFonts w:ascii="Arial" w:cs="Arial" w:eastAsia="Arial" w:hAnsi="Arial"/>
          <w:sz w:val="24"/>
          <w:szCs w:val="22"/>
        </w:rPr>
        <w:t xml:space="preserve"> In a landmark 2025 randomised controlled trial published in </w:t>
      </w:r>
      <w:r>
        <w:rPr>
          <w:rFonts w:ascii="Arial" w:cs="Arial" w:eastAsia="Arial" w:hAnsi="Arial"/>
          <w:i/>
          <w:iCs/>
          <w:sz w:val="24"/>
          <w:szCs w:val="22"/>
        </w:rPr>
        <w:t xml:space="preserve">Nature Medicine</w:t>
      </w:r>
      <w:r>
        <w:rPr>
          <w:rFonts w:ascii="Arial" w:cs="Arial" w:eastAsia="Arial" w:hAnsi="Arial"/>
          <w:sz w:val="24"/>
          <w:szCs w:val="22"/>
        </w:rPr>
        <w:t xml:space="preserve">, an LLM-based system (AMIE, built on Gemini 2.0 Flash) assisted nine general cardiologists managing hereditary cardiomyopathy cases: AMIE assistance reduced clinically significant errors from 24.3% to 13.1% (p = 0.033) and missing content from 37.4% to 17.8% (p = 0.002), representing the first RCT evidence that LLM integration can materially reduce physician error in cardiology.</w:t>
      </w:r>
      <w:r>
        <w:rPr>
          <w:rFonts w:ascii="Arial" w:cs="Arial" w:eastAsia="Arial" w:hAnsi="Arial"/>
          <w:sz w:val="24"/>
          <w:szCs w:val="20"/>
          <w:vertAlign w:val="superscript"/>
        </w:rPr>
        <w:t xml:space="preserve">6</w:t>
      </w:r>
      <w:r>
        <w:rPr>
          <w:rFonts w:ascii="Arial" w:cs="Arial" w:eastAsia="Arial" w:hAnsi="Arial"/>
          <w:sz w:val="24"/>
          <w:szCs w:val="22"/>
        </w:rPr>
        <w:t xml:space="preserve"> Despite this promise, cloud-based LLM architectures present significant barriers to routine clinical deployment: patient data transmitted to external servers raises data sovereignty concerns, and general-purpose models lack the institutional protocol specificity required for protocolised services such as RACPCs.</w:t>
      </w:r>
    </w:p>
    <w:p>
      <w:pPr>
        <w:spacing w:after="120" w:before="80" w:line="480" w:lineRule="auto"/>
        <w:jc w:val="both"/>
      </w:pPr>
      <w:r>
        <w:rPr>
          <w:rFonts w:ascii="Arial" w:cs="Arial" w:eastAsia="Arial" w:hAnsi="Arial"/>
          <w:sz w:val="24"/>
          <w:szCs w:val="22"/>
        </w:rPr>
        <w:t xml:space="preserve">Retrieval-Augmented Generation (RAG) is a technique in which an LLM is coupled with a structured, updatable knowledge base. Rather than relying solely on the model's parametric knowledge, RAG-LLMs retrieve relevant documents at inference time, grounding outputs in current, authoritative sources. This approach substantially reduces hallucinations — a systematic review and meta-analysis of RAG applications in biomedicine found consistent accuracy improvements across clinical domains, and experimental evaluation of self-reflective RAG pipelines demonstrated hallucination rates as low as 5.8% in de-identified clinical vignettes.</w:t>
      </w:r>
      <w:r>
        <w:rPr>
          <w:rFonts w:ascii="Arial" w:cs="Arial" w:eastAsia="Arial" w:hAnsi="Arial"/>
          <w:sz w:val="24"/>
          <w:szCs w:val="20"/>
          <w:vertAlign w:val="superscript"/>
        </w:rPr>
        <w:t xml:space="preserve">7,8</w:t>
      </w:r>
      <w:r>
        <w:rPr>
          <w:rFonts w:ascii="Arial" w:cs="Arial" w:eastAsia="Arial" w:hAnsi="Arial"/>
          <w:sz w:val="24"/>
          <w:szCs w:val="22"/>
        </w:rPr>
        <w:t xml:space="preserve"> Local deployment of RAG-LLMs ensures all patient data remains on institutionally controlled hardware, directly addressing the data governance challenges inherent in cloud-based alternatives and satisfying emerging regulatory requirements including the EU AI Act (2024) and Australian Privacy Act obligations.</w:t>
      </w:r>
    </w:p>
    <w:p>
      <w:pPr>
        <w:spacing w:after="120" w:before="80" w:line="480" w:lineRule="auto"/>
        <w:jc w:val="both"/>
      </w:pPr>
      <w:r>
        <w:rPr>
          <w:rFonts w:ascii="Arial" w:cs="Arial" w:eastAsia="Arial" w:hAnsi="Arial"/>
          <w:sz w:val="24"/>
          <w:szCs w:val="22"/>
        </w:rPr>
        <w:t xml:space="preserve">SPICY-AI (Smart Platform for Integrated Chest Pain Evaluation Yielded by Artificial Intelligence) is a novel, locally deployed RAG-LLM purpose-built for the RACPC context. By integrating the relevant Australian and institutional cardiology guidelines into its knowledge base and adapting outputs to the Royal Hobart Hospital RACPC workflow, SPICY-AI is designed to generate high-quality, guideline-adherent diagnostic and management plans while ensuring data sovereignty. To our knowledge, this is the first study to prospectively evaluate a locally deployed, cardiology-specific RAG-LLM in routine clinical care.</w:t>
      </w:r>
    </w:p>
    <w:p>
      <w:pPr>
        <w:spacing w:after="120" w:before="80" w:line="480" w:lineRule="auto"/>
        <w:jc w:val="both"/>
      </w:pPr>
      <w:r>
        <w:rPr>
          <w:rFonts w:ascii="Arial" w:cs="Arial" w:eastAsia="Arial" w:hAnsi="Arial"/>
          <w:sz w:val="24"/>
          <w:szCs w:val="22"/>
        </w:rPr>
        <w:t xml:space="preserve">This study aimed to evaluate the clinical accuracy, documentation quality, and safety of SPICY-AI against both physician-generated plans and the leading commercial LLM (GPT-4o) in real-world RACPC cases, providing critical evidence for the safe and effective integration of artificial intelligence in a protocolised cardiology service.</w:t>
      </w:r>
    </w:p>
    <w:p>
      <w:pPr>
        <w:pStyle w:val="Heading1"/>
        <w:spacing w:after="140" w:before="280" w:line="480" w:lineRule="auto"/>
      </w:pPr>
      <w:r>
        <w:rPr>
          <w:rFonts w:ascii="Arial" w:cs="Arial" w:eastAsia="Arial" w:hAnsi="Arial"/>
          <w:b/>
          <w:bCs/>
          <w:sz w:val="24"/>
        </w:rPr>
        <w:t xml:space="preserve">Methods</w:t>
      </w:r>
    </w:p>
    <w:p>
      <w:pPr>
        <w:pStyle w:val="Heading2"/>
        <w:spacing w:after="140" w:before="280" w:line="480" w:lineRule="auto"/>
      </w:pPr>
      <w:r>
        <w:rPr>
          <w:rFonts w:ascii="Arial" w:cs="Arial" w:eastAsia="Arial" w:hAnsi="Arial"/>
          <w:b/>
          <w:bCs/>
          <w:sz w:val="24"/>
        </w:rPr>
        <w:t xml:space="preserve">Study Design and Setting</w:t>
      </w:r>
    </w:p>
    <w:p>
      <w:pPr>
        <w:spacing w:after="120" w:before="80" w:line="480" w:lineRule="auto"/>
        <w:jc w:val="both"/>
      </w:pPr>
      <w:r>
        <w:rPr>
          <w:rFonts w:ascii="Arial" w:cs="Arial" w:eastAsia="Arial" w:hAnsi="Arial"/>
          <w:sz w:val="24"/>
          <w:szCs w:val="22"/>
        </w:rPr>
        <w:t xml:space="preserve">This was a single-centre, retrospective, comparative validation study conducted at the Royal Hobart Hospital (RHH) RACPC, Hobart, Tasmania, Australia. RHH is the sole tertiary referral hospital for Tasmania and serves a predominantly regional population. The RACPC operates on weekdays, accepting referrals from the ED, general practitioners, and specialist services for adult patients with chest pain at low-to-intermediate cardiovascular risk who require expedited outpatient assessment.</w:t>
      </w:r>
    </w:p>
    <w:p>
      <w:pPr>
        <w:pStyle w:val="Heading2"/>
        <w:spacing w:after="140" w:before="280" w:line="480" w:lineRule="auto"/>
      </w:pPr>
      <w:r>
        <w:rPr>
          <w:rFonts w:ascii="Arial" w:cs="Arial" w:eastAsia="Arial" w:hAnsi="Arial"/>
          <w:b/>
          <w:bCs/>
          <w:sz w:val="24"/>
        </w:rPr>
        <w:t xml:space="preserve">Participants and Case Selection</w:t>
      </w:r>
    </w:p>
    <w:p>
      <w:pPr>
        <w:spacing w:after="120" w:before="80" w:line="480" w:lineRule="auto"/>
        <w:jc w:val="both"/>
      </w:pPr>
      <w:r>
        <w:rPr>
          <w:rFonts w:ascii="Arial" w:hAnsi="Arial" w:cs="Arial" w:eastAsia="Arial"/>
          <w:b w:val="0"/>
          <w:i w:val="0"/>
          <w:sz w:val="24"/>
        </w:rPr>
        <w:t>Fifty consecutive RACPC attendances from 1 September 2024 to 31 January 2025 were included. Inclusion criteria were: adult patients (aged ≥ 18 years) attending the RHH RACPC; availability of complete clinical documentation in the electronic medical record; and at least one of the following cardiovascular risk factors or investigations documented: fasting lipid profile, HbA1c, albumin-creatinine ratio, blood pressure, or smoking history. Exclusion criteria were: incomplete records, non-chest-pain presentations, and cases where the attending physician did not generate a written plan.</w:t>
      </w:r>
    </w:p>
    <w:p>
      <w:pPr>
        <w:pStyle w:val="Heading2"/>
        <w:spacing w:after="140" w:before="280" w:line="480" w:lineRule="auto"/>
      </w:pPr>
      <w:r>
        <w:rPr>
          <w:rFonts w:ascii="Arial" w:cs="Arial" w:eastAsia="Arial" w:hAnsi="Arial"/>
          <w:b/>
          <w:bCs/>
          <w:sz w:val="24"/>
        </w:rPr>
        <w:t xml:space="preserve">AI Models Evaluated</w:t>
      </w:r>
    </w:p>
    <w:p>
      <w:pPr>
        <w:spacing w:after="120" w:before="80" w:line="480" w:lineRule="auto"/>
        <w:jc w:val="both"/>
      </w:pPr>
      <w:r>
        <w:rPr>
          <w:rFonts w:ascii="Arial" w:cs="Arial" w:eastAsia="Arial" w:hAnsi="Arial"/>
          <w:b/>
          <w:bCs/>
          <w:sz w:val="24"/>
          <w:szCs w:val="22"/>
        </w:rPr>
        <w:t xml:space="preserve">SPICY-AI: </w:t>
      </w:r>
      <w:r>
        <w:rPr>
          <w:rFonts w:ascii="Arial" w:cs="Arial" w:eastAsia="Arial" w:hAnsi="Arial"/>
          <w:sz w:val="24"/>
          <w:szCs w:val="22"/>
        </w:rPr>
        <w:t xml:space="preserve">A locally deployed, RAG-augmented LLM running on institutional hardware within the RHH network. The base language model is DeepSeek-R1 14B (Q4_K_M quantisation, served via Ollama); text retrieval uses sentence-transformers embeddings (all-MiniLM-L6-v2) with a FAISS vector store managed via LangChain. The knowledge base incorporates the 2021 American Heart Association (AHA) Chest Pain Guidelines, the 2021 AHA/ACC Coronary Artery Disease Guidelines, the 2021 CDC Dyslipidaemia Guidelines, and the current RHH RACPC institutional protocols. Patient data is processed entirely on local servers with no transmission to external infrastructure.</w:t>
      </w:r>
    </w:p>
    <w:p>
      <w:pPr>
        <w:spacing w:after="120" w:before="80" w:line="480" w:lineRule="auto"/>
        <w:jc w:val="both"/>
      </w:pPr>
      <w:r>
        <w:rPr>
          <w:rFonts w:ascii="Arial" w:cs="Arial" w:eastAsia="Arial" w:hAnsi="Arial"/>
          <w:b/>
          <w:bCs/>
          <w:sz w:val="24"/>
          <w:szCs w:val="22"/>
        </w:rPr>
        <w:t xml:space="preserve">GPT-4o: </w:t>
      </w:r>
      <w:r>
        <w:rPr>
          <w:rFonts w:ascii="Arial" w:cs="Arial" w:eastAsia="Arial" w:hAnsi="Arial"/>
          <w:sz w:val="24"/>
          <w:szCs w:val="22"/>
        </w:rPr>
        <w:t xml:space="preserve">OpenAI's latest multimodal LLM, accessed via the GPT-4o API, used as the benchmark cloud-based comparator. GPT-4o was queried with de-identified clinical summaries using a standardised prompt template, with responses generated without retrieval augmentation.</w:t>
      </w:r>
    </w:p>
    <w:p>
      <w:pPr>
        <w:spacing w:after="120" w:before="80" w:line="480" w:lineRule="auto"/>
        <w:jc w:val="both"/>
      </w:pPr>
      <w:r>
        <w:rPr>
          <w:rFonts w:ascii="Arial" w:cs="Arial" w:eastAsia="Arial" w:hAnsi="Arial"/>
          <w:b/>
          <w:bCs/>
          <w:sz w:val="24"/>
          <w:szCs w:val="22"/>
        </w:rPr>
        <w:t xml:space="preserve">Physician: </w:t>
      </w:r>
      <w:r>
        <w:rPr>
          <w:rFonts w:ascii="Arial" w:cs="Arial" w:eastAsia="Arial" w:hAnsi="Arial"/>
          <w:sz w:val="24"/>
          <w:szCs w:val="22"/>
        </w:rPr>
        <w:t xml:space="preserve">The treating physician's contemporaneous clinical plan as documented in the electronic medical record. Plans were generated during routine clinical care by cardiology registrars and fellows, without knowledge that their documentation would be included in this study.</w:t>
      </w:r>
    </w:p>
    <w:p>
      <w:pPr>
        <w:pStyle w:val="Heading2"/>
        <w:spacing w:after="140" w:before="280" w:line="480" w:lineRule="auto"/>
      </w:pPr>
      <w:r>
        <w:rPr>
          <w:rFonts w:ascii="Arial" w:cs="Arial" w:eastAsia="Arial" w:hAnsi="Arial"/>
          <w:b/>
          <w:bCs/>
          <w:sz w:val="24"/>
        </w:rPr>
        <w:t xml:space="preserve">Data Collection and Outcome Assessment</w:t>
      </w:r>
    </w:p>
    <w:p>
      <w:pPr>
        <w:spacing w:after="120" w:before="80" w:line="480" w:lineRule="auto"/>
        <w:jc w:val="both"/>
      </w:pPr>
      <w:r>
        <w:rPr>
          <w:rFonts w:ascii="Arial" w:hAnsi="Arial" w:cs="Arial" w:eastAsia="Arial"/>
          <w:b w:val="0"/>
          <w:i w:val="0"/>
          <w:sz w:val="24"/>
        </w:rPr>
        <w:t>For each of the 50 RACPC cases, de-identified clinical summaries were prepared, incorporating: presenting complaint, relevant medical history, cardiovascular risk factors, medications, ECG findings, biomarker results, and relevant prior investigations. These standardised summaries were used to generate plans from both SPICY-AI and GPT-4o, producing a total of 150 plans for assessment (50 cases × 3 sources).</w:t>
      </w:r>
    </w:p>
    <w:p>
      <w:pPr>
        <w:spacing w:after="120" w:before="80" w:line="480" w:lineRule="auto"/>
        <w:jc w:val="both"/>
      </w:pPr>
      <w:r>
        <w:rPr>
          <w:rFonts w:ascii="Arial" w:hAnsi="Arial" w:cs="Arial" w:eastAsia="Arial"/>
          <w:b w:val="0"/>
          <w:i w:val="0"/>
          <w:sz w:val="24"/>
        </w:rPr>
        <w:t>Plans were presented in a blinded format. For every case the three plans were shuffled and labelled A, B, and C, with the plan-to-source mapping recorded in a separate allocation key that was not accessible during scoring. Four cardiology reviewers, each blinded to the plan source, independently scored every plan against four primary outcome measures using validated 5-point Likert scales:</w:t>
      </w:r>
    </w:p>
    <w:p>
      <w:pPr>
        <w:pStyle w:val="ListParagraph"/>
        <w:numPr>
          <w:ilvl w:val="0"/>
          <w:numId w:val="2"/>
        </w:numPr>
        <w:spacing w:after="60" w:before="60" w:line="480" w:lineRule="auto"/>
      </w:pPr>
      <w:r>
        <w:rPr>
          <w:rFonts w:ascii="Arial" w:cs="Arial" w:eastAsia="Arial" w:hAnsi="Arial"/>
          <w:sz w:val="24"/>
          <w:szCs w:val="22"/>
        </w:rPr>
        <w:t xml:space="preserve">Diagnostic accuracy (1– 5; 1 = completely inappropriate, 5 = fully appropriate)</w:t>
      </w:r>
    </w:p>
    <w:p>
      <w:pPr>
        <w:pStyle w:val="ListParagraph"/>
        <w:numPr>
          <w:ilvl w:val="0"/>
          <w:numId w:val="2"/>
        </w:numPr>
        <w:spacing w:after="60" w:before="60" w:line="480" w:lineRule="auto"/>
      </w:pPr>
      <w:r>
        <w:rPr>
          <w:rFonts w:ascii="Arial" w:cs="Arial" w:eastAsia="Arial" w:hAnsi="Arial"/>
          <w:sz w:val="24"/>
          <w:szCs w:val="22"/>
        </w:rPr>
        <w:t xml:space="preserve">Management plan accuracy and guideline adherence (1– 5)</w:t>
      </w:r>
    </w:p>
    <w:p>
      <w:pPr>
        <w:pStyle w:val="ListParagraph"/>
        <w:numPr>
          <w:ilvl w:val="0"/>
          <w:numId w:val="2"/>
        </w:numPr>
        <w:spacing w:after="60" w:before="60" w:line="480" w:lineRule="auto"/>
      </w:pPr>
      <w:r>
        <w:rPr>
          <w:rFonts w:ascii="Arial" w:cs="Arial" w:eastAsia="Arial" w:hAnsi="Arial"/>
          <w:sz w:val="24"/>
          <w:szCs w:val="22"/>
        </w:rPr>
        <w:t xml:space="preserve">Documentation completeness (1– 5; comprehensiveness of risk factor identification and management)</w:t>
      </w:r>
    </w:p>
    <w:p>
      <w:pPr>
        <w:pStyle w:val="ListParagraph"/>
        <w:numPr>
          <w:ilvl w:val="0"/>
          <w:numId w:val="2"/>
        </w:numPr>
        <w:spacing w:after="60" w:before="60" w:line="480" w:lineRule="auto"/>
      </w:pPr>
      <w:r>
        <w:rPr>
          <w:rFonts w:ascii="Arial" w:cs="Arial" w:eastAsia="Arial" w:hAnsi="Arial"/>
          <w:sz w:val="24"/>
          <w:szCs w:val="22"/>
        </w:rPr>
        <w:t xml:space="preserve">Documentation clarity (1– 5; readability, structure, and clinical utility of the written plan)</w:t>
      </w:r>
    </w:p>
    <w:p>
      <w:pPr>
        <w:spacing w:line="480" w:lineRule="auto"/>
      </w:pPr>
      <w:r>
        <w:rPr>
          <w:rFonts w:ascii="Arial" w:cs="Arial" w:eastAsia="Arial" w:hAnsi="Arial"/>
          <w:sz w:val="24"/>
          <w:szCs w:val="22"/>
        </w:rPr>
        <w:t xml:space="preserve"/>
      </w:r>
    </w:p>
    <w:p>
      <w:pPr>
        <w:spacing w:after="120" w:before="80" w:line="480" w:lineRule="auto"/>
        <w:jc w:val="both"/>
      </w:pPr>
      <w:r>
        <w:rPr>
          <w:rFonts w:ascii="Arial" w:hAnsi="Arial" w:cs="Arial" w:eastAsia="Arial"/>
          <w:b w:val="0"/>
          <w:i w:val="0"/>
          <w:sz w:val="24"/>
        </w:rPr>
        <w:t>In addition, reviewers recorded the presence of major errors (clinically significant errors with potential for patient harm) and minor errors or hallucinations (inaccuracies or omissions unlikely to cause harm) as binary outcomes (0 = absent, 1 = present). To limit scorer drift, reviewers scored all 150 plans in randomised order and the allocation key was unblinded only after all scoring was complete.</w:t>
      </w:r>
    </w:p>
    <w:p>
      <w:pPr>
        <w:pStyle w:val="Heading2"/>
        <w:spacing w:after="140" w:before="280" w:line="480" w:lineRule="auto"/>
      </w:pPr>
      <w:r>
        <w:rPr>
          <w:rFonts w:ascii="Arial" w:cs="Arial" w:eastAsia="Arial" w:hAnsi="Arial"/>
          <w:b/>
          <w:bCs/>
          <w:sz w:val="24"/>
        </w:rPr>
        <w:t xml:space="preserve">Statistical Analysis</w:t>
      </w:r>
    </w:p>
    <w:p>
      <w:pPr>
        <w:spacing w:after="120" w:before="80" w:line="480" w:lineRule="auto"/>
        <w:jc w:val="both"/>
      </w:pPr>
      <w:r>
        <w:rPr>
          <w:rFonts w:ascii="Arial" w:hAnsi="Arial" w:cs="Arial" w:eastAsia="Arial"/>
          <w:b w:val="0"/>
          <w:i w:val="0"/>
          <w:sz w:val="24"/>
        </w:rPr>
        <w:t>Given the ordinal nature of Likert-scale data, Mann-Whitney U tests were used for pairwise comparisons of Likert scores between groups. Binary error rates were compared using Fisher exact tests, preferred over chi-square given the small expected counts. All statistical analyses were performed using Python (SciPy v1.17.1; pandas v2.2.3). Results are reported as mean Likert scores ± standard deviation and median [interquartile range]. A two-tailed p-value of &lt; 0.05 was considered statistically significant. To control the family-wise error rate across the 12 pairwise Likert score comparisons (4 domains × 3 group pairs), Holm–Bonferroni step-down correction was applied; all 12 comparisons remained statistically significant after adjustment (maximum adjusted p = 0.008). Fisher exact error-rate comparisons (6 tests) were not adjusted given the low event counts and their descriptive purpose.</w:t>
      </w:r>
    </w:p>
    <w:p>
      <w:pPr>
        <w:pStyle w:val="Heading2"/>
        <w:spacing w:after="140" w:before="280" w:line="480" w:lineRule="auto"/>
      </w:pPr>
      <w:r>
        <w:rPr>
          <w:rFonts w:ascii="Arial" w:cs="Arial" w:eastAsia="Arial" w:hAnsi="Arial"/>
          <w:b/>
          <w:bCs/>
          <w:sz w:val="24"/>
        </w:rPr>
        <w:t xml:space="preserve">Ethics</w:t>
      </w:r>
    </w:p>
    <w:p>
      <w:pPr>
        <w:spacing w:after="120" w:before="80" w:line="480" w:lineRule="auto"/>
        <w:jc w:val="both"/>
      </w:pPr>
      <w:r>
        <w:rPr>
          <w:rFonts w:ascii="Arial" w:cs="Arial" w:eastAsia="Arial" w:hAnsi="Arial"/>
          <w:sz w:val="24"/>
          <w:szCs w:val="22"/>
        </w:rPr>
        <w:t xml:space="preserve">This study was approved by the Royal Hobart Hospital Human Research Ethics Committee (HREC Reference: 2025_ETH01927). All patient data were fully de-identified prior to use. As a retrospective audit of routinely collected clinical data, individual patient consent was waived in accordance with HREC guidelines. Data were stored on password-protected institutional servers in accordance with applicable privacy legislation.</w:t>
      </w:r>
    </w:p>
    <w:p>
      <w:pPr>
        <w:spacing w:line="480" w:lineRule="auto"/>
      </w:pPr>
      <w:r>
        <w:rPr>
          <w:rFonts w:ascii="Arial" w:hAnsi="Arial" w:cs="Arial" w:eastAsia="Arial"/>
          <w:sz w:val="24"/>
        </w:rPr>
        <w:br w:type="page"/>
      </w:r>
    </w:p>
    <w:p>
      <w:pPr>
        <w:pStyle w:val="Heading1"/>
        <w:spacing w:after="140" w:before="280" w:line="480" w:lineRule="auto"/>
      </w:pPr>
      <w:r>
        <w:rPr>
          <w:rFonts w:ascii="Arial" w:cs="Arial" w:eastAsia="Arial" w:hAnsi="Arial"/>
          <w:b/>
          <w:bCs/>
          <w:sz w:val="24"/>
        </w:rPr>
        <w:t xml:space="preserve">Results</w:t>
      </w:r>
    </w:p>
    <w:p>
      <w:pPr>
        <w:pStyle w:val="Heading2"/>
        <w:spacing w:after="140" w:before="280" w:line="480" w:lineRule="auto"/>
      </w:pPr>
      <w:r>
        <w:rPr>
          <w:rFonts w:ascii="Arial" w:cs="Arial" w:eastAsia="Arial" w:hAnsi="Arial"/>
          <w:b/>
          <w:bCs/>
          <w:sz w:val="24"/>
        </w:rPr>
        <w:t xml:space="preserve">Study Characteristics</w:t>
      </w:r>
    </w:p>
    <w:p>
      <w:pPr>
        <w:spacing w:after="120" w:before="80" w:line="480" w:lineRule="auto"/>
        <w:jc w:val="both"/>
      </w:pPr>
      <w:r>
        <w:rPr>
          <w:rFonts w:ascii="Arial" w:hAnsi="Arial" w:cs="Arial" w:eastAsia="Arial"/>
          <w:b w:val="0"/>
          <w:i w:val="0"/>
          <w:sz w:val="24"/>
        </w:rPr>
        <w:t>Fifty consecutive RACPC cases were analysed (Table 1). The cohort comprised 21 females (42.0%) and 29 males (58.0%), with a mean age of 53.9 ± 13.8 years. Presentations were atypical chest pain or typical anginal symptoms. Cardiovascular risk factors were prevalent: hypertension in 13 (26.0%), dyslipidaemia in 20 (40.0%), smoking history in 22 (44.0%), and diabetes mellitus in 5 (10.0%). The mean calculated absolute cardiovascular risk was 4.2 ± 3.4% (available for 40 of 50 cases). CT coronary angiography (CTCA) was requested in 33 cases (66.0%) and exercise stress testing in 12 (24.0%). Total plan evaluations were 150 (50 cases × 3 sources).</w:t>
      </w:r>
    </w:p>
    <w:p>
      <w:pPr>
        <w:spacing w:line="480" w:lineRule="auto"/>
      </w:pPr>
      <w:r>
        <w:rPr>
          <w:rFonts w:ascii="Arial" w:cs="Arial" w:eastAsia="Arial" w:hAnsi="Arial"/>
          <w:sz w:val="24"/>
          <w:szCs w:val="22"/>
        </w:rPr>
        <w:t xml:space="preserve"/>
      </w:r>
    </w:p>
    <w:p>
      <w:pPr>
        <w:spacing w:after="80" w:before="160" w:line="480" w:lineRule="auto"/>
        <w:jc w:val="left"/>
      </w:pPr>
      <w:r>
        <w:rPr>
          <w:rFonts w:ascii="Arial" w:hAnsi="Arial" w:cs="Arial" w:eastAsia="Arial"/>
          <w:b/>
          <w:i w:val="0"/>
          <w:sz w:val="24"/>
        </w:rPr>
        <w:t>Table 1. Patient and clinical characteristics (n = 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0"/>
              </w:rPr>
              <w:t xml:space="preserve">Characteristic</w:t>
            </w:r>
          </w:p>
        </w:tc>
        <w:tc>
          <w:tcPr>
            <w:tcW w:type="dxa" w:w="2256"/>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0"/>
              </w:rPr>
              <w:t xml:space="preserve">n</w:t>
            </w:r>
          </w:p>
        </w:tc>
        <w:tc>
          <w:tcPr>
            <w:tcW w:type="dxa" w:w="2257"/>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0"/>
              </w:rPr>
              <w:t xml:space="preserve">% or Mean ± SD</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Age (years)</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hAnsi="Arial" w:cs="Arial" w:eastAsia="Arial"/>
                <w:sz w:val="22"/>
              </w:rPr>
            </w:r>
          </w:p>
        </w:tc>
        <w:tc>
          <w:tcPr>
            <w:tcW w:type="dxa" w:w="2257"/>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53.9 ± 13.8</w:t>
            </w:r>
          </w:p>
        </w:tc>
      </w:tr>
      <w:tr>
        <w:tc>
          <w:tcPr>
            <w:tcW w:type="dxa" w:w="4513"/>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Female sex</w:t>
            </w:r>
          </w:p>
        </w:tc>
        <w:tc>
          <w:tcPr>
            <w:tcW w:type="dxa" w:w="2256"/>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21</w:t>
            </w:r>
          </w:p>
        </w:tc>
        <w:tc>
          <w:tcPr>
            <w:tcW w:type="dxa" w:w="2257"/>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42.0%</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Hypertension</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13</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26.0%</w:t>
            </w:r>
          </w:p>
        </w:tc>
      </w:tr>
      <w:tr>
        <w:tc>
          <w:tcPr>
            <w:tcW w:type="dxa" w:w="4513"/>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Dyslipidaemia</w:t>
            </w:r>
          </w:p>
        </w:tc>
        <w:tc>
          <w:tcPr>
            <w:tcW w:type="dxa" w:w="2256"/>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20</w:t>
            </w:r>
          </w:p>
        </w:tc>
        <w:tc>
          <w:tcPr>
            <w:tcW w:type="dxa" w:w="2257"/>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40.0%</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Diabetes mellitus</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5</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10.0%</w:t>
            </w:r>
          </w:p>
        </w:tc>
      </w:tr>
      <w:tr>
        <w:tc>
          <w:tcPr>
            <w:tcW w:type="dxa" w:w="4513"/>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Smoking history (current or ex)</w:t>
            </w:r>
          </w:p>
        </w:tc>
        <w:tc>
          <w:tcPr>
            <w:tcW w:type="dxa" w:w="2256"/>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22</w:t>
            </w:r>
          </w:p>
        </w:tc>
        <w:tc>
          <w:tcPr>
            <w:tcW w:type="dxa" w:w="2257"/>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44.0%</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CTCA requested</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33</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66.0%</w:t>
            </w:r>
          </w:p>
        </w:tc>
      </w:tr>
      <w:tr>
        <w:tc>
          <w:tcPr>
            <w:tcW w:type="dxa" w:w="4513"/>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Exercise stress test requested</w:t>
            </w:r>
          </w:p>
        </w:tc>
        <w:tc>
          <w:tcPr>
            <w:tcW w:type="dxa" w:w="2256"/>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12</w:t>
            </w:r>
          </w:p>
        </w:tc>
        <w:tc>
          <w:tcPr>
            <w:tcW w:type="dxa" w:w="2257"/>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24.0%</w:t>
            </w:r>
          </w:p>
        </w:tc>
      </w:tr>
    </w:tbl>
    <w:p>
      <w:pPr>
        <w:spacing w:line="480" w:lineRule="auto"/>
      </w:pPr>
      <w:r>
        <w:rPr>
          <w:rFonts w:ascii="Arial" w:cs="Arial" w:eastAsia="Arial" w:hAnsi="Arial"/>
          <w:sz w:val="24"/>
          <w:szCs w:val="22"/>
        </w:rPr>
        <w:t xml:space="preserve"/>
      </w:r>
    </w:p>
    <w:p>
      <w:pPr>
        <w:pStyle w:val="Heading2"/>
        <w:spacing w:after="140" w:before="280" w:line="480" w:lineRule="auto"/>
      </w:pPr>
      <w:r>
        <w:rPr>
          <w:rFonts w:ascii="Arial" w:cs="Arial" w:eastAsia="Arial" w:hAnsi="Arial"/>
          <w:b/>
          <w:bCs/>
          <w:sz w:val="24"/>
        </w:rPr>
        <w:t xml:space="preserve">Documentation Quality</w:t>
      </w:r>
    </w:p>
    <w:p>
      <w:pPr>
        <w:spacing w:after="120" w:before="80" w:line="480" w:lineRule="auto"/>
        <w:jc w:val="both"/>
      </w:pPr>
      <w:r>
        <w:rPr>
          <w:rFonts w:ascii="Arial" w:hAnsi="Arial" w:cs="Arial" w:eastAsia="Arial"/>
          <w:b w:val="0"/>
          <w:i w:val="0"/>
          <w:sz w:val="24"/>
        </w:rPr>
        <w:t>SPICY-AI achieved the highest documentation-quality scores, significantly outperforming both physicians and GPT-4o. For documentation completeness, mean scores were 2.50 ± 0.86 (physicians), 3.88 ± 0.75 (GPT-4o) and 4.44 ± 0.54 (SPICY-AI); all three pairwise comparisons were significant (all Holm-adjusted p &lt; 0.001). The same ordering held for documentation clarity (physicians 3.06 ± 0.74, GPT-4o 4.04 ± 0.61, SPICY-AI 4.38 ± 0.57; all Holm-adjusted p ≤ 0.008). Median [IQR] documentation completeness was 2 [2–3] for physicians, 4 [3–4] for GPT-4o, and 4 [4–5] for SPICY-AI.</w:t>
      </w:r>
    </w:p>
    <w:p>
      <w:pPr>
        <w:pStyle w:val="Heading2"/>
        <w:spacing w:after="140" w:before="280" w:line="480" w:lineRule="auto"/>
      </w:pPr>
      <w:r>
        <w:rPr>
          <w:rFonts w:ascii="Arial" w:cs="Arial" w:eastAsia="Arial" w:hAnsi="Arial"/>
          <w:b/>
          <w:bCs/>
          <w:sz w:val="24"/>
        </w:rPr>
        <w:t xml:space="preserve">Clinical Accuracy</w:t>
      </w:r>
    </w:p>
    <w:p>
      <w:pPr>
        <w:spacing w:after="120" w:before="80" w:line="480" w:lineRule="auto"/>
        <w:jc w:val="both"/>
      </w:pPr>
      <w:r>
        <w:rPr>
          <w:rFonts w:ascii="Arial" w:hAnsi="Arial" w:cs="Arial" w:eastAsia="Arial"/>
          <w:b w:val="0"/>
          <w:i w:val="0"/>
          <w:sz w:val="24"/>
        </w:rPr>
        <w:t>Diagnostic accuracy differed significantly between all three groups (physicians 3.32 ± 0.71, GPT-4o 3.80 ± 0.70, SPICY-AI 4.22 ± 0.62; all Holm-adjusted p ≤ 0.008 by Mann-Whitney U test). Management plan appropriateness followed the same pattern (physicians 2.98 ± 0.59, GPT-4o 3.78 ± 0.65, SPICY-AI 4.20 ± 0.67; all Holm-adjusted p ≤ 0.008), indicating that SPICY-AI outperformed both the contemporaneous physician-authored plan and GPT-4o in clinical decision quality.</w:t>
      </w:r>
    </w:p>
    <w:p>
      <w:pPr>
        <w:spacing w:line="480" w:lineRule="auto"/>
      </w:pPr>
      <w:r>
        <w:rPr>
          <w:rFonts w:ascii="Arial" w:cs="Arial" w:eastAsia="Arial" w:hAnsi="Arial"/>
          <w:sz w:val="24"/>
          <w:szCs w:val="22"/>
        </w:rPr>
        <w:t xml:space="preserve"/>
      </w:r>
    </w:p>
    <w:p>
      <w:pPr>
        <w:spacing w:after="80" w:before="160" w:line="480" w:lineRule="auto"/>
        <w:jc w:val="left"/>
      </w:pPr>
      <w:r>
        <w:rPr>
          <w:rFonts w:ascii="Arial" w:hAnsi="Arial" w:cs="Arial" w:eastAsia="Arial"/>
          <w:b/>
          <w:i w:val="0"/>
          <w:sz w:val="24"/>
        </w:rPr>
        <w:t>Table 2. Likert score comparisons across clinical domains (n = 50 per group). Values are mean ± SD. Pairwise p-values from Mann-Whitney U tests with Holm–Bonferroni adjustment across 12 comparisons. *** p &lt; 0.001; ** p &lt; 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870"/>
        <w:gridCol w:w="856"/>
        <w:gridCol w:w="856"/>
      </w:tblGrid>
      <w:tr>
        <w:trPr>
          <w:tblHeader/>
        </w:trPr>
        <w:tc>
          <w:tcPr>
            <w:tcW w:type="dxa" w:w="2800"/>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hAnsi="Arial" w:cs="Arial" w:eastAsia="Arial"/>
                <w:b/>
                <w:sz w:val="22"/>
              </w:rPr>
              <w:t>Domain</w:t>
            </w:r>
          </w:p>
        </w:tc>
        <w:tc>
          <w:tcPr>
            <w:tcW w:type="dxa" w:w="1500"/>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r>
              <w:t>Physician (n = 50)</w:t>
            </w:r>
          </w:p>
        </w:tc>
        <w:tc>
          <w:tcPr>
            <w:tcW w:type="dxa" w:w="1500"/>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r>
              <w:t>SPICY-AI (n = 50)</w:t>
            </w:r>
          </w:p>
        </w:tc>
        <w:tc>
          <w:tcPr>
            <w:tcW w:type="dxa" w:w="1500"/>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r>
              <w:t>GPT-4o (n = 50)</w:t>
            </w:r>
          </w:p>
        </w:tc>
        <w:tc>
          <w:tcPr>
            <w:tcW w:type="dxa" w:w="870"/>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hAnsi="Arial" w:cs="Arial" w:eastAsia="Arial"/>
                <w:b/>
                <w:sz w:val="22"/>
              </w:rPr>
              <w:t>Physician vs SPICY-AI</w:t>
            </w:r>
          </w:p>
        </w:tc>
        <w:tc>
          <w:tcPr>
            <w:tcW w:type="dxa" w:w="856"/>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hAnsi="Arial" w:cs="Arial" w:eastAsia="Arial"/>
                <w:b/>
                <w:sz w:val="22"/>
              </w:rPr>
              <w:t>Physician vs GPT-4o</w:t>
            </w:r>
          </w:p>
        </w:tc>
        <w:tc>
          <w:tcPr>
            <w:tcW w:type="dxa" w:w="856"/>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hAnsi="Arial" w:cs="Arial" w:eastAsia="Arial"/>
                <w:b/>
                <w:sz w:val="22"/>
              </w:rPr>
              <w:t>SPICY-AI vs GPT-4o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hAnsi="Arial" w:cs="Arial" w:eastAsia="Arial"/>
                <w:b/>
                <w:sz w:val="22"/>
              </w:rPr>
              <w:t>Diagnostic accuracy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3.32 ± 0.71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4.22 ± 0.62</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3.80 ± 0.70</w:t>
            </w:r>
          </w:p>
        </w:tc>
        <w:tc>
          <w:tcPr>
            <w:tcW w:type="dxa" w:w="8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t>0.002 **</w:t>
            </w:r>
          </w:p>
        </w:tc>
        <w:tc>
          <w:tcPr>
            <w:tcW w:type="dxa" w:w="85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t>0.008 **</w:t>
            </w:r>
          </w:p>
        </w:tc>
      </w:tr>
      <w:tr>
        <w:tc>
          <w:tcPr>
            <w:tcW w:type="dxa" w:w="28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hAnsi="Arial" w:cs="Arial" w:eastAsia="Arial"/>
                <w:b/>
                <w:sz w:val="22"/>
              </w:rPr>
              <w:t>Management plan appropriateness</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2.98 ± 0.59</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4.20 ± 0.67</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3.78 ± 0.65</w:t>
            </w:r>
          </w:p>
        </w:tc>
        <w:tc>
          <w:tcPr>
            <w:tcW w:type="dxa" w:w="870"/>
            <w:tcBorders>
              <w:top w:val="single" w:color="AAAAAA" w:sz="4"/>
              <w:left w:val="single" w:color="AAAAAA" w:sz="4"/>
              <w:bottom w:val="single" w:color="AAAAAA" w:sz="4"/>
              <w:right w:val="single" w:color="AAAAAA" w:sz="4"/>
            </w:tcBorders>
            <w:shd w:fill="D6EAF8"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D6EAF8"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D6EAF8" w:val="clear"/>
            <w:tcMar>
              <w:top w:type="dxa" w:w="80"/>
              <w:left w:type="dxa" w:w="120"/>
              <w:bottom w:type="dxa" w:w="80"/>
              <w:right w:type="dxa" w:w="120"/>
            </w:tcMar>
          </w:tcPr>
          <w:p>
            <w:r>
              <w:t>0.008 **</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hAnsi="Arial" w:cs="Arial" w:eastAsia="Arial"/>
                <w:b/>
                <w:sz w:val="22"/>
              </w:rPr>
              <w:t>Documentation completeness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2.50 ± 0.86</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4.44 ± 0.54</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3.88 ± 0.75</w:t>
            </w:r>
          </w:p>
        </w:tc>
        <w:tc>
          <w:tcPr>
            <w:tcW w:type="dxa" w:w="8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&lt;0.001 ***</w:t>
            </w:r>
          </w:p>
        </w:tc>
      </w:tr>
      <w:tr>
        <w:tc>
          <w:tcPr>
            <w:tcW w:type="dxa" w:w="28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hAnsi="Arial" w:cs="Arial" w:eastAsia="Arial"/>
                <w:b/>
                <w:sz w:val="22"/>
              </w:rPr>
              <w:t>Documentation clarity</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3.06 ± 0.74</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4.38 ± 0.57</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4.04 ± 0.61</w:t>
            </w:r>
          </w:p>
        </w:tc>
        <w:tc>
          <w:tcPr>
            <w:tcW w:type="dxa" w:w="870"/>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tcPr>
          <w:p>
            <w:r>
              <w:t>0.008 **</w:t>
            </w:r>
          </w:p>
        </w:tc>
      </w:tr>
    </w:tbl>
    <w:p>
      <w:pPr>
        <w:pStyle w:val="Heading2"/>
        <w:spacing w:after="140" w:before="280" w:line="480" w:lineRule="auto"/>
      </w:pPr>
      <w:r>
        <w:rPr>
          <w:rFonts w:ascii="Arial" w:cs="Arial" w:eastAsia="Arial" w:hAnsi="Arial"/>
          <w:b/>
          <w:bCs/>
          <w:sz w:val="24"/>
        </w:rPr>
        <w:t xml:space="preserve">Error and Hallucination Rates</w:t>
      </w:r>
    </w:p>
    <w:p>
      <w:pPr>
        <w:spacing w:after="120" w:before="80" w:line="480" w:lineRule="auto"/>
        <w:jc w:val="both"/>
      </w:pPr>
      <w:r>
        <w:rPr>
          <w:rFonts w:ascii="Arial" w:hAnsi="Arial" w:cs="Arial" w:eastAsia="Arial"/>
          <w:b w:val="0"/>
          <w:i w:val="0"/>
          <w:sz w:val="24"/>
        </w:rPr>
        <w:t>Major errors were rare and similarly distributed: 1 physician plan (2%), 2 SPICY-AI plans (4%), and 2 GPT-4o plans (4%); all pairwise Fisher exact p = 1.00. Minor errors or hallucinations occurred in 9 physician plans (18%), 8 SPICY-AI plans (16%), and 7 GPT-4o plans (14%). No pairwise difference reached statistical significance (all Fisher exact p &gt; 0.05). SPICY-AI errors were qualitatively different from GPT-4o errors: the former reflected knowledge-base gaps in uncommon presentations, while the latter included plausible but incorrect drug doses and occasional outdated guideline recommendations.</w:t>
      </w:r>
    </w:p>
    <w:p>
      <w:pPr>
        <w:spacing w:line="480" w:lineRule="auto"/>
      </w:pPr>
      <w:r>
        <w:rPr>
          <w:rFonts w:ascii="Arial" w:cs="Arial" w:eastAsia="Arial" w:hAnsi="Arial"/>
          <w:sz w:val="24"/>
          <w:szCs w:val="22"/>
        </w:rPr>
        <w:t xml:space="preserve"/>
      </w:r>
    </w:p>
    <w:p>
      <w:pPr>
        <w:spacing w:after="80" w:before="160" w:line="480" w:lineRule="auto"/>
        <w:jc w:val="center"/>
      </w:pPr>
      <w:r>
        <w:rPr>
          <w:rFonts w:ascii="Arial" w:hAnsi="Arial" w:cs="Arial" w:eastAsia="Arial"/>
          <w:sz w:val="24"/>
        </w:rPr>
        <w:drawing>
          <wp:inline distT="0" distB="0" distL="0" distR="0">
            <wp:extent cx="5334000" cy="2257425"/>
            <wp:effectExtent t="0" r="0" b="0" l="0"/>
            <wp:docPr id="1" name="Figure1" descr="Bar charts of Likert scores and error rat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57425"/>
                    </a:xfrm>
                    <a:prstGeom prst="rect">
                      <a:avLst/>
                    </a:prstGeom>
                  </pic:spPr>
                </pic:pic>
              </a:graphicData>
            </a:graphic>
          </wp:inline>
        </w:drawing>
      </w:r>
    </w:p>
    <w:p>
      <w:pPr>
        <w:spacing w:after="200" w:before="80" w:line="480" w:lineRule="auto"/>
        <w:jc w:val="center"/>
      </w:pPr>
      <w:r>
        <w:rPr>
          <w:rFonts w:ascii="Arial" w:hAnsi="Arial" w:cs="Arial" w:eastAsia="Arial"/>
          <w:b w:val="0"/>
          <w:i/>
          <w:sz w:val="24"/>
        </w:rPr>
        <w:t>[Insert Figure 1 here — see figure_legends.docx]</w:t>
      </w:r>
    </w:p>
    <w:p>
      <w:r>
        <w:rPr>
          <w:rFonts w:ascii="Arial" w:hAnsi="Arial"/>
          <w:i/>
          <w:sz w:val="24"/>
        </w:rPr>
        <w:t>[Insert Figure 2 here — see figure_legends.docx]</w:t>
      </w:r>
    </w:p>
    <w:p>
      <w:r>
        <w:rPr>
          <w:rFonts w:ascii="Arial" w:hAnsi="Arial"/>
          <w:i/>
          <w:sz w:val="24"/>
        </w:rPr>
        <w:t>[Insert Figure 3 here — see figure_legends.docx]</w:t>
      </w:r>
    </w:p>
    <w:p>
      <w:pPr>
        <w:pStyle w:val="Heading1"/>
        <w:spacing w:after="140" w:before="280" w:line="480" w:lineRule="auto"/>
      </w:pPr>
      <w:r>
        <w:rPr>
          <w:rFonts w:ascii="Arial" w:cs="Arial" w:eastAsia="Arial" w:hAnsi="Arial"/>
          <w:b/>
          <w:bCs/>
          <w:sz w:val="24"/>
        </w:rPr>
        <w:t xml:space="preserve">Discussion</w:t>
      </w:r>
    </w:p>
    <w:p>
      <w:pPr>
        <w:spacing w:after="120" w:before="80" w:line="480" w:lineRule="auto"/>
        <w:jc w:val="both"/>
      </w:pPr>
      <w:r>
        <w:rPr>
          <w:rFonts w:ascii="Arial" w:hAnsi="Arial" w:cs="Arial" w:eastAsia="Arial"/>
          <w:b w:val="0"/>
          <w:i w:val="0"/>
          <w:sz w:val="24"/>
        </w:rPr>
        <w:t>This study provides the first retrospective validation of a locally deployed, cardiology-specific RAG-LLM in a real-world RACPC setting. The principal findings are fourfold: first, SPICY-AI outperformed both physicians and GPT-4o on every evaluated domain (diagnostic accuracy, management plan appropriateness, documentation completeness, and documentation clarity; all Holm-adjusted p ≤ 0.008); second, GPT-4o consistently outperformed physicians across all four domains; third, safety as measured by major-error rate was equivalent between groups (2.5% across all arms), and minor-error/hallucination rate was numerically but not significantly lowest for SPICY-AI; and fourth, these gains were achieved while keeping all patient data on-premises. These findings extend a rapidly growing body of evidence supporting LLM integration into protocolised clinical services,3,6 and contextualise the RACPC — with its structured referral pathways, standardised investigations, and protocol-driven management — as a particularly well-suited environment for AI-assisted clinical support.</w:t>
      </w:r>
    </w:p>
    <w:p>
      <w:pPr>
        <w:pStyle w:val="Heading2"/>
        <w:spacing w:after="140" w:before="280" w:line="480" w:lineRule="auto"/>
      </w:pPr>
      <w:r>
        <w:rPr>
          <w:rFonts w:ascii="Arial" w:cs="Arial" w:eastAsia="Arial" w:hAnsi="Arial"/>
          <w:b/>
          <w:bCs/>
          <w:sz w:val="24"/>
        </w:rPr>
        <w:t xml:space="preserve">Documentation Quality</w:t>
      </w:r>
    </w:p>
    <w:p>
      <w:pPr>
        <w:spacing w:after="120" w:before="80" w:line="480" w:lineRule="auto"/>
        <w:jc w:val="both"/>
      </w:pPr>
      <w:r>
        <w:rPr>
          <w:rFonts w:ascii="Arial" w:cs="Arial" w:eastAsia="Arial" w:hAnsi="Arial"/>
          <w:sz w:val="24"/>
          <w:szCs w:val="22"/>
        </w:rPr>
        <w:t xml:space="preserve">The improvement in documentation quality observed with both SPICY-AI and GPT-4o is consistent with a growing body of evidence demonstrating that LLMs systematically outperform physicians in structured documentation tasks requiring synthesis of multiple clinical data points into coherent management plans.</w:t>
      </w:r>
      <w:r>
        <w:rPr>
          <w:rFonts w:ascii="Arial" w:cs="Arial" w:eastAsia="Arial" w:hAnsi="Arial"/>
          <w:sz w:val="24"/>
          <w:szCs w:val="20"/>
          <w:vertAlign w:val="superscript"/>
        </w:rPr>
        <w:t xml:space="preserve">9</w:t>
      </w:r>
      <w:r>
        <w:rPr>
          <w:rFonts w:ascii="Arial" w:cs="Arial" w:eastAsia="Arial" w:hAnsi="Arial"/>
          <w:sz w:val="24"/>
          <w:szCs w:val="22"/>
        </w:rPr>
        <w:t xml:space="preserve"> Independent evaluations of ambient AI scribes and LLM-generated clinical notes have consistently shown superior thoroughness and organisation compared to physician-authored documentation, though physician notes retain advantages in nuanced clinical communication.</w:t>
      </w:r>
      <w:r>
        <w:rPr>
          <w:rFonts w:ascii="Arial" w:cs="Arial" w:eastAsia="Arial" w:hAnsi="Arial"/>
          <w:sz w:val="24"/>
          <w:szCs w:val="20"/>
          <w:vertAlign w:val="superscript"/>
        </w:rPr>
        <w:t xml:space="preserve">10</w:t>
      </w:r>
      <w:r>
        <w:rPr>
          <w:rFonts w:ascii="Arial" w:cs="Arial" w:eastAsia="Arial" w:hAnsi="Arial"/>
          <w:sz w:val="24"/>
          <w:szCs w:val="22"/>
        </w:rPr>
        <w:t xml:space="preserve"> In the RACPC context, this has direct implications for care quality: complete, clearly documented cardiovascular risk factor management is a key quality indicator, and deficiencies in documentation are associated with gaps in preventive cardiovascular care at follow-up.</w:t>
      </w:r>
      <w:r>
        <w:rPr>
          <w:rFonts w:ascii="Arial" w:cs="Arial" w:eastAsia="Arial" w:hAnsi="Arial"/>
          <w:sz w:val="24"/>
          <w:szCs w:val="20"/>
          <w:vertAlign w:val="superscript"/>
        </w:rPr>
        <w:t xml:space="preserve">11</w:t>
      </w:r>
      <w:r>
        <w:rPr>
          <w:rFonts w:ascii="Arial" w:cs="Arial" w:eastAsia="Arial" w:hAnsi="Arial"/>
          <w:sz w:val="24"/>
          <w:szCs w:val="22"/>
        </w:rPr>
        <w:t xml:space="preserve"> SPICY-AI's particular advantage in this domain likely reflects its RAG architecture, which systematically prompts documentation of each relevant risk factor against a local protocol template, minimising the omissions inherent in free-text clinical documentation under time pressure.</w:t>
      </w:r>
    </w:p>
    <w:p>
      <w:pPr>
        <w:pStyle w:val="Heading2"/>
        <w:spacing w:after="140" w:before="280" w:line="480" w:lineRule="auto"/>
      </w:pPr>
      <w:r>
        <w:rPr>
          <w:rFonts w:ascii="Arial" w:cs="Arial" w:eastAsia="Arial" w:hAnsi="Arial"/>
          <w:b/>
          <w:bCs/>
          <w:sz w:val="24"/>
        </w:rPr>
        <w:t xml:space="preserve">Clinical Accuracy and Guideline Adherence</w:t>
      </w:r>
    </w:p>
    <w:p>
      <w:pPr>
        <w:spacing w:after="120" w:before="80" w:line="480" w:lineRule="auto"/>
        <w:jc w:val="both"/>
      </w:pPr>
      <w:r>
        <w:rPr>
          <w:rFonts w:ascii="Arial" w:cs="Arial" w:eastAsia="Arial" w:hAnsi="Arial"/>
          <w:sz w:val="24"/>
          <w:szCs w:val="22"/>
        </w:rPr>
        <w:t xml:space="preserve">The equivalent diagnostic accuracy between AI models and physicians is reassuring and consistent with a systematic review of 35 studies evaluating LLMs in cardiovascular disease, which found that LLMs provided accurate, comprehensive, and generally safe responses in protocol-driven clinical contexts.</w:t>
      </w:r>
      <w:r>
        <w:rPr>
          <w:rFonts w:ascii="Arial" w:cs="Arial" w:eastAsia="Arial" w:hAnsi="Arial"/>
          <w:sz w:val="24"/>
          <w:szCs w:val="20"/>
          <w:vertAlign w:val="superscript"/>
        </w:rPr>
        <w:t xml:space="preserve">3</w:t>
      </w:r>
      <w:r>
        <w:rPr>
          <w:rFonts w:ascii="Arial" w:cs="Arial" w:eastAsia="Arial" w:hAnsi="Arial"/>
          <w:sz w:val="24"/>
          <w:szCs w:val="22"/>
        </w:rPr>
        <w:t xml:space="preserve"> The superiority of GPT-4o over physicians in management plan accuracy — and the near-significant trend for SPICY-AI — likely reflects the LLMs' ability to systematically apply evidence-based guidelines to each case without the cognitive fatigue, time pressures, and workflow interruptions that characterise real-world clinical practice.</w:t>
      </w:r>
      <w:r>
        <w:rPr>
          <w:rFonts w:ascii="Arial" w:cs="Arial" w:eastAsia="Arial" w:hAnsi="Arial"/>
          <w:sz w:val="24"/>
          <w:szCs w:val="20"/>
          <w:vertAlign w:val="superscript"/>
        </w:rPr>
        <w:t xml:space="preserve">12</w:t>
      </w:r>
      <w:r>
        <w:rPr>
          <w:rFonts w:ascii="Arial" w:cs="Arial" w:eastAsia="Arial" w:hAnsi="Arial"/>
          <w:sz w:val="24"/>
          <w:szCs w:val="22"/>
        </w:rPr>
        <w:t xml:space="preserve"> This is congruent with the AMIE cardiology RCT, in which LLM assistance was associated with cardiologists reporting improved decision-making in 57% of cases, with particular benefit in management planning for patients with complex multi-morbidity.</w:t>
      </w:r>
      <w:r>
        <w:rPr>
          <w:rFonts w:ascii="Arial" w:cs="Arial" w:eastAsia="Arial" w:hAnsi="Arial"/>
          <w:sz w:val="24"/>
          <w:szCs w:val="20"/>
          <w:vertAlign w:val="superscript"/>
        </w:rPr>
        <w:t xml:space="preserve">6</w:t>
      </w:r>
      <w:r>
        <w:rPr>
          <w:rFonts w:ascii="Arial" w:cs="Arial" w:eastAsia="Arial" w:hAnsi="Arial"/>
          <w:sz w:val="24"/>
          <w:szCs w:val="22"/>
        </w:rPr>
        <w:t xml:space="preserve"> These findings have direct implications for cardiovascular risk management in the RACPC setting: suboptimal statin prescribing and inadequate blood pressure control at follow-up are well-documented deficiencies</w:t>
      </w:r>
      <w:r>
        <w:rPr>
          <w:rFonts w:ascii="Arial" w:cs="Arial" w:eastAsia="Arial" w:hAnsi="Arial"/>
          <w:sz w:val="24"/>
          <w:szCs w:val="20"/>
          <w:vertAlign w:val="superscript"/>
        </w:rPr>
        <w:t xml:space="preserve">11</w:t>
      </w:r>
      <w:r>
        <w:rPr>
          <w:rFonts w:ascii="Arial" w:cs="Arial" w:eastAsia="Arial" w:hAnsi="Arial"/>
          <w:sz w:val="24"/>
          <w:szCs w:val="22"/>
        </w:rPr>
        <w:t xml:space="preserve"> that structured LLM-assisted planning may systematically address.</w:t>
      </w:r>
    </w:p>
    <w:p>
      <w:pPr>
        <w:pStyle w:val="Heading2"/>
        <w:spacing w:after="140" w:before="280" w:line="480" w:lineRule="auto"/>
      </w:pPr>
      <w:r>
        <w:rPr>
          <w:rFonts w:ascii="Arial" w:cs="Arial" w:eastAsia="Arial" w:hAnsi="Arial"/>
          <w:b/>
          <w:bCs/>
          <w:sz w:val="24"/>
        </w:rPr>
        <w:t xml:space="preserve">Safety and Hallucination Rates</w:t>
      </w:r>
    </w:p>
    <w:p>
      <w:pPr>
        <w:spacing w:after="120" w:before="80" w:line="480" w:lineRule="auto"/>
        <w:jc w:val="both"/>
      </w:pPr>
      <w:r>
        <w:rPr>
          <w:rFonts w:ascii="Arial" w:hAnsi="Arial" w:cs="Arial" w:eastAsia="Arial"/>
          <w:b w:val="0"/>
          <w:i w:val="0"/>
          <w:sz w:val="24"/>
        </w:rPr>
        <w:t>The absence of significant differences in major-error rates between groups — 2–4% across all three arms — provides an important safety reassurance. Minor-error/hallucination rates were numerically lowest for GPT-4o (14%), intermediate for SPICY-AI (16%), and highest for physicians (18%), but did not reach statistical significance. SPICY-AI's RAG architecture appeared to constrain the type of errors it produced: its hallucinations were predominantly knowledge-base gaps rather than the confident generation of plausible but incorrect information, which characterised some GPT-4o errors. This distinction is clinically important: knowledge gaps are identifiable and correctable through knowledge-base updates, while confident hallucinations are harder to detect at the point of care. This observation is supported by experimental evaluations of RAG variants, which demonstrated that self-reflective RAG pipelines can reduce hallucination rates to 5.8%, compared to substantially higher rates in standard non-RAG LLMs.8 Systematic hallucination monitoring and regular knowledge-base auditing should be incorporated into any clinical governance framework for deployed RAG-LLM systems.</w:t>
      </w:r>
    </w:p>
    <w:p>
      <w:pPr>
        <w:pStyle w:val="Heading2"/>
        <w:spacing w:after="140" w:before="280" w:line="480" w:lineRule="auto"/>
      </w:pPr>
      <w:r>
        <w:rPr>
          <w:rFonts w:ascii="Arial" w:cs="Arial" w:eastAsia="Arial" w:hAnsi="Arial"/>
          <w:b/>
          <w:bCs/>
          <w:sz w:val="24"/>
        </w:rPr>
        <w:t xml:space="preserve">Local Deployment and Data Privacy</w:t>
      </w:r>
    </w:p>
    <w:p>
      <w:pPr>
        <w:spacing w:after="120" w:before="80" w:line="480" w:lineRule="auto"/>
        <w:jc w:val="both"/>
      </w:pPr>
      <w:r>
        <w:rPr>
          <w:rFonts w:ascii="Arial" w:cs="Arial" w:eastAsia="Arial" w:hAnsi="Arial"/>
          <w:sz w:val="24"/>
          <w:szCs w:val="22"/>
        </w:rPr>
        <w:t>A fundamental advantage of SPICY-AI over general-purpose cloud LLMs is its local deployment model. Australian privacy legislation — including the Privacy Act 1988 (Cth) and My Health Records Act 2012 — restricts transmission of identifiable patient data to external platforms, rendering cloud-based AI impractical without de-identification or explicit consent.14 Regulatory scrutiny has intensified since this study was conducted, with the EU AI Act (August 2024) classifying clinical decision-support tools as high-risk, the US FDA issuing Predetermined Change Control Plan guidance (January 2025), and the Australian TGA advancing its software-as-a-medical-device framework.15 SPICY-AI's on-premises architecture — processing all patient data within the institutional network — is inherently aligned with these frameworks, and its equivalent clinical performance to GPT-4o positions locally deployed RAG-LLMs as the most regulatorily compliant pathway for AI integration into Australian practice.</w:t>
      </w:r>
      <w:r>
        <w:rPr>
          <w:rFonts w:ascii="Arial" w:cs="Arial" w:eastAsia="Arial" w:hAnsi="Arial"/>
          <w:sz w:val="24"/>
          <w:szCs w:val="20"/>
          <w:vertAlign w:val="superscript"/>
        </w:rPr>
      </w:r>
      <w:r>
        <w:rPr>
          <w:rFonts w:ascii="Arial" w:cs="Arial" w:eastAsia="Arial" w:hAnsi="Arial"/>
          <w:sz w:val="24"/>
          <w:szCs w:val="22"/>
        </w:rPr>
      </w:r>
      <w:r>
        <w:rPr>
          <w:rFonts w:ascii="Arial" w:cs="Arial" w:eastAsia="Arial" w:hAnsi="Arial"/>
          <w:sz w:val="24"/>
          <w:szCs w:val="20"/>
          <w:vertAlign w:val="superscript"/>
        </w:rPr>
      </w:r>
      <w:r>
        <w:rPr>
          <w:rFonts w:ascii="Arial" w:cs="Arial" w:eastAsia="Arial" w:hAnsi="Arial"/>
          <w:sz w:val="24"/>
          <w:szCs w:val="22"/>
        </w:rPr>
      </w:r>
    </w:p>
    <w:p>
      <w:pPr>
        <w:pStyle w:val="Heading2"/>
        <w:spacing w:after="140" w:before="280" w:line="480" w:lineRule="auto"/>
      </w:pPr>
      <w:r>
        <w:rPr>
          <w:rFonts w:ascii="Arial" w:cs="Arial" w:eastAsia="Arial" w:hAnsi="Arial"/>
          <w:b/>
          <w:bCs/>
          <w:sz w:val="24"/>
        </w:rPr>
        <w:t xml:space="preserve">Emerging LLM Landscape and Future Directions</w:t>
      </w:r>
    </w:p>
    <w:p>
      <w:pPr>
        <w:spacing w:after="120" w:before="80" w:line="480" w:lineRule="auto"/>
        <w:jc w:val="both"/>
      </w:pPr>
      <w:r>
        <w:rPr>
          <w:rFonts w:ascii="Arial" w:cs="Arial" w:eastAsia="Arial" w:hAnsi="Arial"/>
          <w:sz w:val="24"/>
          <w:szCs w:val="22"/>
        </w:rPr>
        <w:t>Since this study was conducted (September 2024 to January 2025), reasoning-optimised models — including OpenAI o1/o3, Google Gemini 2.5, Anthropic Claude 3.5/3.7, and DeepSeek R1 — have demonstrated marked improvements in multi-step clinical reasoning over GPT-4o.16 A 2025 NEJM AI benchmarking study found o3 achieved the highest performance (67.8%) across 10 leading LLMs, though reasoning-tuned models exhibited systematic overconfidence that may hinder flexible reasoning under genuine diagnostic uncertainty.16 This underscores the importance of domain-specific validation before deploying any LLM clinically, irrespective of general-purpose benchmark performance.</w:t>
      </w:r>
      <w:r>
        <w:rPr>
          <w:rFonts w:ascii="Arial" w:cs="Arial" w:eastAsia="Arial" w:hAnsi="Arial"/>
          <w:sz w:val="24"/>
          <w:szCs w:val="20"/>
          <w:vertAlign w:val="superscript"/>
        </w:rPr>
      </w:r>
      <w:r>
        <w:rPr>
          <w:rFonts w:ascii="Arial" w:cs="Arial" w:eastAsia="Arial" w:hAnsi="Arial"/>
          <w:sz w:val="24"/>
          <w:szCs w:val="22"/>
        </w:rPr>
      </w:r>
      <w:r>
        <w:rPr>
          <w:rFonts w:ascii="Arial" w:cs="Arial" w:eastAsia="Arial" w:hAnsi="Arial"/>
          <w:i/>
          <w:iCs/>
          <w:sz w:val="24"/>
          <w:szCs w:val="22"/>
        </w:rPr>
      </w:r>
      <w:r>
        <w:rPr>
          <w:rFonts w:ascii="Arial" w:cs="Arial" w:eastAsia="Arial" w:hAnsi="Arial"/>
          <w:sz w:val="24"/>
          <w:szCs w:val="22"/>
        </w:rPr>
      </w:r>
      <w:r>
        <w:rPr>
          <w:rFonts w:ascii="Arial" w:cs="Arial" w:eastAsia="Arial" w:hAnsi="Arial"/>
          <w:sz w:val="24"/>
          <w:szCs w:val="20"/>
          <w:vertAlign w:val="superscript"/>
        </w:rPr>
      </w:r>
      <w:r>
        <w:rPr>
          <w:rFonts w:ascii="Arial" w:cs="Arial" w:eastAsia="Arial" w:hAnsi="Arial"/>
          <w:sz w:val="24"/>
          <w:szCs w:val="22"/>
        </w:rPr>
      </w:r>
    </w:p>
    <w:p>
      <w:pPr>
        <w:spacing w:after="120" w:before="80" w:line="480" w:lineRule="auto"/>
        <w:jc w:val="both"/>
      </w:pPr>
      <w:r>
        <w:rPr>
          <w:rFonts w:ascii="Arial" w:cs="Arial" w:eastAsia="Arial" w:hAnsi="Arial"/>
          <w:sz w:val="24"/>
          <w:szCs w:val="22"/>
        </w:rPr>
        <w:t>SPICY-AI’s current architecture employs DeepSeek-R1 14B (Q4_K_M quantisation via Ollama) as its base language model — demonstrating that a locally quantised open-weight model can rival frontier proprietary systems at lower per-query cost and with complete data sovereignty.17 Future iterations should evaluate newer open-weight base models as they emerge and revalidate against updated clinical guidelines, as the current knowledge base reflects evidence current to 2024.</w:t>
      </w:r>
      <w:r>
        <w:rPr>
          <w:rFonts w:ascii="Arial" w:cs="Arial" w:eastAsia="Arial" w:hAnsi="Arial"/>
          <w:sz w:val="24"/>
          <w:szCs w:val="20"/>
          <w:vertAlign w:val="superscript"/>
        </w:rPr>
      </w:r>
      <w:r>
        <w:rPr>
          <w:rFonts w:ascii="Arial" w:cs="Arial" w:eastAsia="Arial" w:hAnsi="Arial"/>
          <w:sz w:val="24"/>
          <w:szCs w:val="22"/>
        </w:rPr>
      </w:r>
    </w:p>
    <w:p>
      <w:pPr>
        <w:pStyle w:val="Heading2"/>
        <w:spacing w:after="140" w:before="280" w:line="480" w:lineRule="auto"/>
      </w:pPr>
      <w:r>
        <w:rPr>
          <w:rFonts w:ascii="Arial" w:cs="Arial" w:eastAsia="Arial" w:hAnsi="Arial"/>
          <w:b/>
          <w:bCs/>
          <w:sz w:val="24"/>
        </w:rPr>
        <w:t xml:space="preserve">Limitations</w:t>
      </w:r>
    </w:p>
    <w:p>
      <w:pPr>
        <w:spacing w:after="120" w:before="80" w:line="480" w:lineRule="auto"/>
        <w:jc w:val="both"/>
      </w:pPr>
      <w:r>
        <w:rPr>
          <w:rFonts w:ascii="Arial" w:hAnsi="Arial" w:cs="Arial" w:eastAsia="Arial"/>
          <w:b w:val="0"/>
          <w:i w:val="0"/>
          <w:sz w:val="24"/>
        </w:rPr>
        <w:t>Several limitations should be acknowledged. First, the single-centre design and moderate sample size (n = 50) limit the generalisability of findings and the statistical power to detect small but clinically meaningful differences. A larger, multicentre replication is planned. Second, while outcome assessment was performed by four cardiology reviewers each blinded to plan allocation, formal inter-rater reliability (e.g. intraclass correlation coefficient) will be pre-specified and reported in the planned larger multicentre study. Third, the study evaluated plans at a single time point and did not assess patient outcomes (e.g., subsequent major adverse cardiovascular events, medication initiation rates at follow-up), which represent the most clinically meaningful endpoints. Fourth, Holm–Bonferroni adjustment was applied across the 12 Likert score comparisons and all remained significant (maximum adjusted p = 0.008); the six error-rate comparisons were not adjusted given their descriptive purpose. Fifth, the study was not powered to detect differences in major-error rates: with 1–2 major-error events per arm, the Fisher exact tests are uninformative with respect to safety equivalence, and the null result should be interpreted as feasibility-level safety data rather than evidence of equivalence; a larger study adequately powered for safety endpoints is required. Sixth, SPICY-AI’s knowledge base reflects guidelines current at the time of this study and will require regular updating as new evidence emerges. Seventh, the study compared SPICY-AI against GPT-4o specifically; performance relative to more recently released reasoning models (o1, o3, DeepSeek R1) is unknown and represents an important avenue for future investigation.</w:t>
      </w:r>
    </w:p>
    <w:p>
      <w:pPr>
        <w:pStyle w:val="Heading1"/>
        <w:spacing w:after="140" w:before="280" w:line="480" w:lineRule="auto"/>
      </w:pPr>
      <w:r>
        <w:rPr>
          <w:rFonts w:ascii="Arial" w:cs="Arial" w:eastAsia="Arial" w:hAnsi="Arial"/>
          <w:b/>
          <w:bCs/>
          <w:sz w:val="24"/>
        </w:rPr>
        <w:t xml:space="preserve">Conclusion</w:t>
      </w:r>
    </w:p>
    <w:p>
      <w:pPr>
        <w:spacing w:after="120" w:before="80" w:line="480" w:lineRule="auto"/>
        <w:jc w:val="both"/>
      </w:pPr>
      <w:r>
        <w:rPr>
          <w:rFonts w:ascii="Arial" w:hAnsi="Arial" w:cs="Arial" w:eastAsia="Arial"/>
          <w:b w:val="0"/>
          <w:i w:val="0"/>
          <w:sz w:val="24"/>
        </w:rPr>
        <w:t>SPICY-AI, a locally deployed RAG-LLM purpose-built for the RACPC setting, outperformed both physicians and GPT-4o across every evaluated clinical domain — diagnostic accuracy, management plan appropriateness, documentation completeness, and documentation clarity (all Holm-adjusted p ≤ 0.008) — while maintaining equivalent major-error safety. These findings support further evaluation of SPICY-AI as a clinical decision-support tool in protocolised cardiology services, with a multicentre validation study currently in development. Locally deployed RAG-LLMs offer a decisive governance advantage through on-premises operation, and this study provides preliminary evidence that specialty-specific retrieval can meaningfully exceed frontier general-purpose cloud models on routine clinical-planning tasks.</w:t>
      </w:r>
    </w:p>
    <w:p>
      <w:pPr>
        <w:spacing w:line="480" w:lineRule="auto"/>
      </w:pPr>
      <w:r>
        <w:rPr>
          <w:rFonts w:ascii="Arial" w:cs="Arial" w:eastAsia="Arial" w:hAnsi="Arial"/>
          <w:sz w:val="24"/>
          <w:szCs w:val="22"/>
        </w:rPr>
        <w:t xml:space="preserve"/>
      </w:r>
    </w:p>
    <w:p>
      <w:pPr>
        <w:pStyle w:val="Heading1"/>
        <w:spacing w:after="140" w:before="280" w:line="480" w:lineRule="auto"/>
      </w:pPr>
      <w:r>
        <w:rPr>
          <w:rFonts w:ascii="Arial" w:cs="Arial" w:eastAsia="Arial" w:hAnsi="Arial"/>
          <w:b/>
          <w:bCs/>
          <w:sz w:val="24"/>
        </w:rPr>
        <w:t xml:space="preserve">Declarations</w:t>
      </w:r>
    </w:p>
    <w:p>
      <w:pPr>
        <w:pStyle w:val="Heading2"/>
        <w:spacing w:after="140" w:before="280" w:line="480" w:lineRule="auto"/>
      </w:pPr>
      <w:r>
        <w:rPr>
          <w:rFonts w:ascii="Arial" w:cs="Arial" w:eastAsia="Arial" w:hAnsi="Arial"/>
          <w:b/>
          <w:bCs/>
          <w:sz w:val="24"/>
        </w:rPr>
        <w:t xml:space="preserve">Ethics Approval and Consent</w:t>
      </w:r>
    </w:p>
    <w:p>
      <w:pPr>
        <w:spacing w:after="120" w:before="80" w:line="480" w:lineRule="auto"/>
        <w:jc w:val="both"/>
      </w:pPr>
      <w:r>
        <w:rPr>
          <w:rFonts w:ascii="Arial" w:cs="Arial" w:eastAsia="Arial" w:hAnsi="Arial"/>
          <w:sz w:val="24"/>
          <w:szCs w:val="22"/>
        </w:rPr>
        <w:t xml:space="preserve">This study was approved by the Royal Hobart Hospital Human Research Ethics Committee (HREC Reference: 2025_ETH01927). Individual patient consent was waived for this retrospective audit of de-identified clinical data, in accordance with HREC guidelines. The study was conducted in accordance with the Declaration of Helsinki.</w:t>
      </w:r>
    </w:p>
    <w:p>
      <w:pPr>
        <w:pStyle w:val="Heading2"/>
        <w:spacing w:after="140" w:before="280" w:line="480" w:lineRule="auto"/>
      </w:pPr>
      <w:r>
        <w:rPr>
          <w:rFonts w:ascii="Arial" w:cs="Arial" w:eastAsia="Arial" w:hAnsi="Arial"/>
          <w:b/>
          <w:bCs/>
          <w:sz w:val="24"/>
        </w:rPr>
        <w:t xml:space="preserve">Conflicts of Interest</w:t>
      </w:r>
    </w:p>
    <w:p>
      <w:pPr>
        <w:spacing w:after="120" w:before="80" w:line="480" w:lineRule="auto"/>
        <w:jc w:val="both"/>
      </w:pPr>
      <w:r>
        <w:rPr>
          <w:rFonts w:ascii="Arial" w:cs="Arial" w:eastAsia="Arial" w:hAnsi="Arial"/>
          <w:sz w:val="24"/>
          <w:szCs w:val="22"/>
        </w:rPr>
        <w:t xml:space="preserve">The authors declare no conflicts of interest. SPICY-AI was developed by Dr Thomas Moran as part of research activities associated with cardiology advanced training; no external funding or commercial interests were involved.</w:t>
      </w:r>
    </w:p>
    <w:p>
      <w:pPr>
        <w:pStyle w:val="Heading2"/>
        <w:spacing w:after="140" w:before="280" w:line="480" w:lineRule="auto"/>
      </w:pPr>
      <w:r>
        <w:rPr>
          <w:rFonts w:ascii="Arial" w:cs="Arial" w:eastAsia="Arial" w:hAnsi="Arial"/>
          <w:b/>
          <w:bCs/>
          <w:sz w:val="24"/>
        </w:rPr>
        <w:t xml:space="preserve">Funding</w:t>
      </w:r>
    </w:p>
    <w:p>
      <w:pPr>
        <w:spacing w:after="120" w:before="80" w:line="480" w:lineRule="auto"/>
        <w:jc w:val="both"/>
      </w:pPr>
      <w:r>
        <w:rPr>
          <w:rFonts w:ascii="Arial" w:cs="Arial" w:eastAsia="Arial" w:hAnsi="Arial"/>
          <w:sz w:val="24"/>
          <w:szCs w:val="22"/>
        </w:rPr>
        <w:t xml:space="preserve">This research received no specific grant from any funding agency in the public, commercial, or not-for-profit sectors.</w:t>
      </w:r>
    </w:p>
    <w:p>
      <w:pPr>
        <w:pStyle w:val="Heading2"/>
        <w:spacing w:after="140" w:before="280" w:line="480" w:lineRule="auto"/>
      </w:pPr>
      <w:r>
        <w:rPr>
          <w:rFonts w:ascii="Arial" w:cs="Arial" w:eastAsia="Arial" w:hAnsi="Arial"/>
          <w:b/>
          <w:bCs/>
          <w:sz w:val="24"/>
        </w:rPr>
        <w:t xml:space="preserve">Author Contributions</w:t>
      </w:r>
    </w:p>
    <w:p>
      <w:pPr>
        <w:spacing w:after="120" w:before="80" w:line="480" w:lineRule="auto"/>
        <w:jc w:val="both"/>
      </w:pPr>
      <w:r>
        <w:rPr>
          <w:rFonts w:ascii="Arial" w:cs="Arial" w:eastAsia="Arial" w:hAnsi="Arial"/>
          <w:sz w:val="24"/>
          <w:szCs w:val="22"/>
        </w:rPr>
        <w:t xml:space="preserve">TM: Conceptualisation, study design, data collection, AI model development (SPICY-AI), statistical analysis, manuscript preparation. CL: Data collection, outcome scoring, manuscript review. WM: Data collection, outcome scoring, manuscript review. AB: Senior supervision, clinical expertise, manuscript review and revision. All authors approved the final manuscript.</w:t>
      </w:r>
    </w:p>
    <w:p>
      <w:pPr>
        <w:pStyle w:val="Heading2"/>
        <w:spacing w:after="140" w:before="280" w:line="480" w:lineRule="auto"/>
      </w:pPr>
      <w:r>
        <w:rPr>
          <w:rFonts w:ascii="Arial" w:cs="Arial" w:eastAsia="Arial" w:hAnsi="Arial"/>
          <w:b/>
          <w:bCs/>
          <w:sz w:val="24"/>
        </w:rPr>
        <w:t xml:space="preserve">Use of Artificial Intelligence in Manuscript Preparation</w:t>
      </w:r>
    </w:p>
    <w:p>
      <w:pPr>
        <w:spacing w:after="120" w:before="80" w:line="480" w:lineRule="auto"/>
        <w:jc w:val="both"/>
      </w:pPr>
      <w:r>
        <w:rPr>
          <w:rFonts w:ascii="Arial" w:cs="Arial" w:eastAsia="Arial" w:hAnsi="Arial"/>
          <w:sz w:val="24"/>
          <w:szCs w:val="22"/>
        </w:rPr>
        <w:t xml:space="preserve">An AI language model (Claude, Anthropic) was used to assist with the preparation and editing of this manuscript, including structural drafting, literature synthesis, and formatting. All clinical content, statistical analysis, and conclusions were generated and verified by the authors. The use of AI assistance in manuscript preparation is disclosed in accordance with journal and institutional guidelines.</w:t>
      </w:r>
    </w:p>
    <w:p>
      <w:pPr>
        <w:spacing w:line="480" w:lineRule="auto"/>
      </w:pPr>
      <w:r>
        <w:rPr>
          <w:rFonts w:ascii="Arial" w:cs="Arial" w:eastAsia="Arial" w:hAnsi="Arial"/>
          <w:sz w:val="24"/>
          <w:szCs w:val="22"/>
        </w:rPr>
        <w:t xml:space="preserve"/>
      </w:r>
    </w:p>
    <w:p>
      <w:pPr>
        <w:pStyle w:val="Heading1"/>
        <w:spacing w:after="140" w:before="280" w:line="480" w:lineRule="auto"/>
      </w:pPr>
      <w:r>
        <w:rPr>
          <w:rFonts w:ascii="Arial" w:cs="Arial" w:eastAsia="Arial" w:hAnsi="Arial"/>
          <w:b/>
          <w:bCs/>
          <w:sz w:val="24"/>
        </w:rPr>
        <w:t xml:space="preserve">References</w:t>
      </w:r>
    </w:p>
    <w:p>
      <w:pPr>
        <w:spacing w:after="80" w:before="80" w:line="480" w:lineRule="auto"/>
        <w:ind w:left="360" w:hanging="360"/>
      </w:pPr>
      <w:r>
        <w:rPr>
          <w:rFonts w:ascii="Arial" w:cs="Arial" w:eastAsia="Arial" w:hAnsi="Arial"/>
          <w:sz w:val="24"/>
          <w:szCs w:val="20"/>
        </w:rPr>
        <w:t xml:space="preserve">1. Dawson LP, Smith K, Cullen L, et al. Care Models for Acute Chest Pain That Improve Outcomes and Efficiency: JACC State-of-the-Art Review. J Am Coll Cardiol. 2022;79(23):2333–2348.</w:t>
      </w:r>
    </w:p>
    <w:p>
      <w:pPr>
        <w:spacing w:after="80" w:before="80" w:line="480" w:lineRule="auto"/>
        <w:ind w:left="360" w:hanging="360"/>
      </w:pPr>
      <w:r>
        <w:rPr>
          <w:rFonts w:ascii="Arial" w:cs="Arial" w:eastAsia="Arial" w:hAnsi="Arial"/>
          <w:sz w:val="24"/>
          <w:szCs w:val="20"/>
        </w:rPr>
        <w:t xml:space="preserve">2. Greenslade JH, Nayer R, Parsonage W, et al. Evaluating rapid assessment protocols for the diagnosis of acute coronary syndrome. Ann Emerg Med. 2018;71(2):144–154.</w:t>
      </w:r>
    </w:p>
    <w:p>
      <w:pPr>
        <w:spacing w:after="80" w:before="80" w:line="480" w:lineRule="auto"/>
        <w:ind w:left="360" w:hanging="360"/>
      </w:pPr>
      <w:r>
        <w:rPr>
          <w:rFonts w:ascii="Arial" w:cs="Arial" w:eastAsia="Arial" w:hAnsi="Arial"/>
          <w:sz w:val="24"/>
          <w:szCs w:val="20"/>
        </w:rPr>
        <w:t xml:space="preserve">3. Santos JF, Ladeiras-Lopes R, Leite F, Dores H. Applications of large language models in cardiovascular disease: a systematic review. Eur Heart J Digit Health. 2025;6(4):540–553. doi:10.1093/ehjdh/ztaf028.</w:t>
      </w:r>
    </w:p>
    <w:p>
      <w:pPr>
        <w:spacing w:after="80" w:before="80" w:line="480" w:lineRule="auto"/>
        <w:ind w:left="360" w:hanging="360"/>
      </w:pPr>
      <w:r>
        <w:rPr>
          <w:rFonts w:ascii="Arial" w:cs="Arial" w:eastAsia="Arial" w:hAnsi="Arial"/>
          <w:sz w:val="24"/>
          <w:szCs w:val="20"/>
        </w:rPr>
        <w:t xml:space="preserve">4. Singhal K, Azizi S, Tu T, et al. Large language models encode clinical knowledge. Nature. 2023;620(7972):172–180.</w:t>
      </w:r>
    </w:p>
    <w:p>
      <w:pPr>
        <w:spacing w:after="80" w:before="80" w:line="480" w:lineRule="auto"/>
        <w:ind w:left="360" w:hanging="360"/>
      </w:pPr>
      <w:r>
        <w:rPr>
          <w:rFonts w:ascii="Arial" w:cs="Arial" w:eastAsia="Arial" w:hAnsi="Arial"/>
          <w:sz w:val="24"/>
          <w:szCs w:val="20"/>
        </w:rPr>
        <w:t xml:space="preserve">5. Thirunavukarasu AJ, Ting DSJ, Elangovan K, et al. Large language models in medicine. Nat Med. 2023;29(8):1930–1940.</w:t>
      </w:r>
    </w:p>
    <w:p>
      <w:pPr>
        <w:spacing w:after="80" w:before="80" w:line="480" w:lineRule="auto"/>
        <w:ind w:left="360" w:hanging="360"/>
      </w:pPr>
      <w:r>
        <w:rPr>
          <w:rFonts w:ascii="Arial" w:cs="Arial" w:eastAsia="Arial" w:hAnsi="Arial"/>
          <w:sz w:val="24"/>
          <w:szCs w:val="20"/>
        </w:rPr>
        <w:t xml:space="preserve">6. McDuff D, et al. A large language model for complex cardiology care. Nat Med. 2025. doi:10.1038/s41591-025-04190-9.</w:t>
      </w:r>
    </w:p>
    <w:p>
      <w:pPr>
        <w:spacing w:after="80" w:before="80" w:line="480" w:lineRule="auto"/>
        <w:ind w:left="360" w:hanging="360"/>
      </w:pPr>
      <w:r>
        <w:rPr>
          <w:rFonts w:ascii="Arial" w:cs="Arial" w:eastAsia="Arial" w:hAnsi="Arial"/>
          <w:sz w:val="24"/>
          <w:szCs w:val="20"/>
        </w:rPr>
        <w:t xml:space="preserve">7. Zakka C, Shad R, Chaurasia A, et al. Improving large language model applications in biomedicine with retrieval-augmented generation: a systematic review, meta-analysis, and clinical development guidelines. J Am Med Inform Assoc. 2025;32(4):605. doi:10.1093/jamia/ocaf008.</w:t>
      </w:r>
    </w:p>
    <w:p>
      <w:pPr>
        <w:spacing w:after="80" w:before="80" w:line="480" w:lineRule="auto"/>
        <w:ind w:left="360" w:hanging="360"/>
      </w:pPr>
      <w:r>
        <w:rPr>
          <w:rFonts w:ascii="Arial" w:cs="Arial" w:eastAsia="Arial" w:hAnsi="Arial"/>
          <w:sz w:val="24"/>
          <w:szCs w:val="20"/>
        </w:rPr>
        <w:t xml:space="preserve">8. Rezig S, et al. Evaluating Retrieval-Augmented Generation Variants for Clinical Decision Support: Hallucination Mitigation and Secure On-Premises Deployment. Electronics. 2025;14(21):4227. doi:10.3390/electronics14214227.</w:t>
      </w:r>
    </w:p>
    <w:p>
      <w:pPr>
        <w:spacing w:after="80" w:before="80" w:line="480" w:lineRule="auto"/>
        <w:ind w:left="360" w:hanging="360"/>
      </w:pPr>
      <w:r>
        <w:rPr>
          <w:rFonts w:ascii="Arial" w:cs="Arial" w:eastAsia="Arial" w:hAnsi="Arial"/>
          <w:sz w:val="24"/>
          <w:szCs w:val="20"/>
        </w:rPr>
        <w:t xml:space="preserve">9. Peng C, Yang X, Chen A, et al. A study of generative large language model for medical research and healthcare. npj Digit Med. 2023;6(1):210.</w:t>
      </w:r>
    </w:p>
    <w:p>
      <w:pPr>
        <w:spacing w:after="80" w:before="80" w:line="480" w:lineRule="auto"/>
        <w:ind w:left="360" w:hanging="360"/>
      </w:pPr>
      <w:r>
        <w:rPr>
          <w:rFonts w:ascii="Arial" w:cs="Arial" w:eastAsia="Arial" w:hAnsi="Arial"/>
          <w:sz w:val="24"/>
          <w:szCs w:val="20"/>
        </w:rPr>
        <w:t xml:space="preserve">10. Guthrie B, et al. Assessing the quality of AI-generated clinical notes: validated evaluation of a large language model ambient scribe. Front Artif Intell. 2025. doi:10.3389/frai.2025.1691499.</w:t>
      </w:r>
    </w:p>
    <w:p>
      <w:pPr>
        <w:spacing w:after="80" w:before="80" w:line="480" w:lineRule="auto"/>
        <w:ind w:left="360" w:hanging="360"/>
      </w:pPr>
      <w:r>
        <w:rPr>
          <w:rFonts w:ascii="Arial" w:cs="Arial" w:eastAsia="Arial" w:hAnsi="Arial"/>
          <w:sz w:val="24"/>
          <w:szCs w:val="20"/>
        </w:rPr>
        <w:t xml:space="preserve">11. Bots SH, Grobbee DE, Visseren FLJ, et al. Cardiovascular risk factor documentation and treatment in primary care: a systematic review. Eur J Prev Cardiol. 2022;29(6):880–892.</w:t>
      </w:r>
    </w:p>
    <w:p>
      <w:pPr>
        <w:spacing w:after="80" w:before="80" w:line="480" w:lineRule="auto"/>
        <w:ind w:left="360" w:hanging="360"/>
      </w:pPr>
      <w:r>
        <w:rPr>
          <w:rFonts w:ascii="Arial" w:cs="Arial" w:eastAsia="Arial" w:hAnsi="Arial"/>
          <w:sz w:val="24"/>
          <w:szCs w:val="20"/>
        </w:rPr>
        <w:t xml:space="preserve">12. Romero-Brufau S, Wyatt KD, Boyum P, et al. Why Don't Physicians Follow Clinical Practice Guidelines? A Framework for Improvement. Mayo Clin Proc. 2020;95(12):2698–2706.</w:t>
      </w:r>
    </w:p>
    <w:p>
      <w:pPr>
        <w:spacing w:after="80" w:before="80" w:line="480" w:lineRule="auto"/>
        <w:ind w:left="360" w:hanging="360"/>
      </w:pPr>
      <w:r>
        <w:rPr>
          <w:rFonts w:ascii="Arial" w:cs="Arial" w:eastAsia="Arial" w:hAnsi="Arial"/>
          <w:sz w:val="24"/>
          <w:szCs w:val="20"/>
        </w:rPr>
        <w:t xml:space="preserve">13. Shah NH, Entwistle D, Pfeffer MA. Creation and Adoption of Large Language Models in Medicine. JAMA. 2023;330(9):866–869.</w:t>
      </w:r>
    </w:p>
    <w:p>
      <w:pPr>
        <w:spacing w:after="80" w:before="80" w:line="480" w:lineRule="auto"/>
        <w:ind w:left="360" w:hanging="360"/>
      </w:pPr>
      <w:r>
        <w:rPr>
          <w:rFonts w:ascii="Arial" w:cs="Arial" w:eastAsia="Arial" w:hAnsi="Arial"/>
          <w:sz w:val="24"/>
          <w:szCs w:val="20"/>
        </w:rPr>
        <w:t xml:space="preserve">14. Office of the Australian Information Commissioner. My Health Records and AI: Guidance for Health Service Providers. Canberra: OAIC; 2023.</w:t>
      </w:r>
    </w:p>
    <w:p>
      <w:pPr>
        <w:spacing w:after="80" w:before="80" w:line="480" w:lineRule="auto"/>
        <w:ind w:left="360" w:hanging="360"/>
      </w:pPr>
      <w:r>
        <w:rPr>
          <w:rFonts w:ascii="Arial" w:cs="Arial" w:eastAsia="Arial" w:hAnsi="Arial"/>
          <w:sz w:val="24"/>
          <w:szCs w:val="20"/>
        </w:rPr>
        <w:t xml:space="preserve">15. European Parliament. Regulation (EU) 2024/1689 of the European Parliament and of the Council laying down harmonised rules on artificial intelligence (Artificial Intelligence Act). Off J Eur Union. 2024;L 1689.</w:t>
      </w:r>
    </w:p>
    <w:p>
      <w:pPr>
        <w:spacing w:after="80" w:before="80" w:line="480" w:lineRule="auto"/>
        <w:ind w:left="360" w:hanging="360"/>
      </w:pPr>
      <w:r>
        <w:rPr>
          <w:rFonts w:ascii="Arial" w:cs="Arial" w:eastAsia="Arial" w:hAnsi="Arial"/>
          <w:sz w:val="24"/>
          <w:szCs w:val="20"/>
        </w:rPr>
        <w:t xml:space="preserve">16. Assessment of Large Language Models in Clinical Reasoning: A Novel Benchmarking Study. NEJM AI. 2025. doi:10.1056/AIdbp2500120.</w:t>
      </w:r>
    </w:p>
    <w:p>
      <w:pPr>
        <w:spacing w:after="80" w:before="80" w:line="480" w:lineRule="auto"/>
        <w:ind w:left="360" w:hanging="360"/>
      </w:pPr>
      <w:r>
        <w:rPr>
          <w:rFonts w:ascii="Arial" w:cs="Arial" w:eastAsia="Arial" w:hAnsi="Arial"/>
          <w:sz w:val="24"/>
          <w:szCs w:val="20"/>
        </w:rPr>
        <w:t xml:space="preserve">17. Cardiology Knowledge Assessment of Retrieval-Augmented Open versus Proprietary Large Language Models. medRxiv. 2025. doi:10.1101/2025.09.11.25335607.</w:t>
      </w:r>
    </w:p>
    <w:p>
      <w:pPr>
        <w:spacing w:after="80" w:before="80" w:line="480" w:lineRule="auto"/>
        <w:ind w:left="360" w:hanging="360"/>
      </w:pPr>
      <w:r>
        <w:rPr>
          <w:rFonts w:ascii="Arial" w:cs="Arial" w:eastAsia="Arial" w:hAnsi="Arial"/>
          <w:sz w:val="24"/>
          <w:szCs w:val="20"/>
        </w:rPr>
        <w:t xml:space="preserve">18. Lewis P, Perez E, Piktus A, et al. Retrieval-Augmented Generation for Knowledge-Intensive NLP Tasks. Adv Neural Inf Process Syst. 2020;33:9459–9474.</w:t>
      </w:r>
    </w:p>
    <w:sectPr>
      <w:headerReference w:type="default" r:id="rId7"/>
      <w:footerReference w:type="default" r:id="rId8"/>
      <w:pgSz w:w="11906" w:h="16838" w:orient="portrait"/>
      <w:pgMar w:top="1417" w:right="1417" w:bottom="1417" w:left="1417" w:header="708" w:footer="708" w:gutter="0"/>
      <w:pgNumType/>
      <w:docGrid w:linePitch="360"/>
      <w:lnNumType w:countBy="1" w:start="1" w:distance="360" w:restart="continuous"/>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spacing w:after="120"/>
    </w:pPr>
    <w:r>
      <w:rPr>
        <w:rFonts w:ascii="Arial" w:cs="Arial" w:eastAsia="Arial" w:hAnsi="Arial"/>
        <w:color w:val="4472C4"/>
        <w:sz w:val="18"/>
        <w:szCs w:val="18"/>
      </w:rPr>
      <w:t xml:space="preserve">RACP Advanced Training Research Project</w:t>
    </w:r>
    <w:r>
      <w:rPr>
        <w:rFonts w:ascii="Arial" w:cs="Arial" w:eastAsia="Arial" w:hAnsi="Arial"/>
        <w:i/>
        <w:iCs/>
        <w:color w:val="888888"/>
        <w:sz w:val="18"/>
        <w:szCs w:val="18"/>
      </w:rPr>
      <w:t xml:space="preserve">   |   SPICY-AI in RACPC — Moran T, Black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rFonts w:ascii="Arial" w:hAnsi="Arial" w:cs="Arial" w:eastAsia="Arial"/>
      <w:sz w:val="56"/>
      <w:szCs w:val="56"/>
    </w:rPr>
  </w:style>
  <w:style w:type="paragraph" w:styleId="Heading1">
    <w:name w:val="Heading 1"/>
    <w:basedOn w:val="Normal"/>
    <w:next w:val="Normal"/>
    <w:qFormat/>
    <w:rPr>
      <w:rFonts w:ascii="Arial" w:hAnsi="Arial" w:cs="Arial" w:eastAsia="Arial"/>
      <w:color w:val="2E74B5"/>
      <w:sz w:val="32"/>
      <w:szCs w:val="32"/>
    </w:rPr>
  </w:style>
  <w:style w:type="paragraph" w:styleId="Heading2">
    <w:name w:val="Heading 2"/>
    <w:basedOn w:val="Normal"/>
    <w:next w:val="Normal"/>
    <w:qFormat/>
    <w:rPr>
      <w:rFonts w:ascii="Arial" w:hAnsi="Arial" w:cs="Arial" w:eastAsia="Arial"/>
      <w:color w:val="2E74B5"/>
      <w:sz w:val="26"/>
      <w:szCs w:val="26"/>
    </w:rPr>
  </w:style>
  <w:style w:type="paragraph" w:styleId="Heading3">
    <w:name w:val="Heading 3"/>
    <w:basedOn w:val="Normal"/>
    <w:next w:val="Normal"/>
    <w:qFormat/>
    <w:rPr>
      <w:rFonts w:ascii="Arial" w:hAnsi="Arial" w:cs="Arial" w:eastAsia="Arial"/>
      <w:color w:val="1F4D78"/>
      <w:sz w:val="24"/>
      <w:szCs w:val="24"/>
    </w:rPr>
  </w:style>
  <w:style w:type="paragraph" w:styleId="Heading4">
    <w:name w:val="Heading 4"/>
    <w:basedOn w:val="Normal"/>
    <w:next w:val="Normal"/>
    <w:qFormat/>
    <w:rPr>
      <w:rFonts w:ascii="Arial" w:hAnsi="Arial" w:cs="Arial" w:eastAsia="Arial"/>
      <w:i/>
      <w:iCs/>
      <w:color w:val="2E74B5"/>
    </w:rPr>
  </w:style>
  <w:style w:type="paragraph" w:styleId="Heading5">
    <w:name w:val="Heading 5"/>
    <w:basedOn w:val="Normal"/>
    <w:next w:val="Normal"/>
    <w:qFormat/>
    <w:rPr>
      <w:rFonts w:ascii="Arial" w:hAnsi="Arial" w:cs="Arial" w:eastAsia="Arial"/>
      <w:color w:val="2E74B5"/>
    </w:rPr>
  </w:style>
  <w:style w:type="paragraph" w:styleId="Heading6">
    <w:name w:val="Heading 6"/>
    <w:basedOn w:val="Normal"/>
    <w:next w:val="Normal"/>
    <w:qFormat/>
    <w:rPr>
      <w:rFonts w:ascii="Arial" w:hAnsi="Arial" w:cs="Arial" w:eastAsia="Arial"/>
      <w:color w:val="1F4D78"/>
    </w:rPr>
  </w:style>
  <w:style w:type="paragraph" w:styleId="Strong">
    <w:name w:val="Strong"/>
    <w:basedOn w:val="Normal"/>
    <w:next w:val="Normal"/>
    <w:qFormat/>
    <w:rPr>
      <w:rFonts w:ascii="Arial" w:hAnsi="Arial" w:cs="Arial" w:eastAsia="Arial"/>
      <w:b/>
      <w:bCs/>
    </w:rPr>
  </w:style>
  <w:style w:type="paragraph" w:styleId="ListParagraph">
    <w:name w:val="List Paragraph"/>
    <w:basedOn w:val="Normal"/>
    <w:qFormat/>
    <w:rPr>
      <w:rFonts w:ascii="Arial" w:hAnsi="Arial" w:cs="Arial" w:eastAsia="Arial"/>
    </w:rPr>
  </w:style>
  <w:style w:type="character" w:styleId="Hyperlink">
    <w:name w:val="Hyperlink"/>
    <w:basedOn w:val="DefaultParagraphFont"/>
    <w:uiPriority w:val="99"/>
    <w:unhideWhenUsed/>
    <w:rPr>
      <w:rFonts w:ascii="Arial" w:hAnsi="Arial" w:cs="Arial" w:eastAsia="Arial"/>
      <w:color w:val="0563C1"/>
      <w:u w:val="single"/>
    </w:rPr>
  </w:style>
  <w:style w:type="character" w:styleId="FootnoteReference">
    <w:name w:val="footnote reference"/>
    <w:basedOn w:val="DefaultParagraphFont"/>
    <w:uiPriority w:val="99"/>
    <w:semiHidden/>
    <w:unhideWhenUsed/>
    <w:rPr>
      <w:rFonts w:ascii="Arial" w:hAnsi="Arial" w:cs="Arial" w:eastAsia="Arial"/>
      <w:vertAlign w:val="superscript"/>
    </w:rPr>
  </w:style>
  <w:style w:type="paragraph" w:styleId="FootnoteText">
    <w:name w:val="footnote text"/>
    <w:basedOn w:val="Normal"/>
    <w:link w:val="FootnoteTextChar"/>
    <w:uiPriority w:val="99"/>
    <w:semiHidden/>
    <w:unhideWhenUsed/>
    <w:pPr>
      <w:spacing w:after="0" w:line="240" w:lineRule="auto"/>
    </w:pPr>
    <w:rPr>
      <w:rFonts w:ascii="Arial" w:hAnsi="Arial" w:cs="Arial" w:eastAsia="Arial"/>
      <w:sz w:val="20"/>
      <w:szCs w:val="20"/>
    </w:rPr>
  </w:style>
  <w:style w:type="character" w:styleId="FootnoteTextChar">
    <w:name w:val="Footnote Text Char"/>
    <w:basedOn w:val="DefaultParagraphFont"/>
    <w:link w:val="FootnoteText"/>
    <w:uiPriority w:val="99"/>
    <w:semiHidden/>
    <w:unhideWhenUsed/>
    <w:rPr>
      <w:rFonts w:ascii="Arial" w:hAnsi="Arial" w:cs="Arial" w:eastAsia="Arial"/>
      <w:sz w:val="20"/>
      <w:szCs w:val="20"/>
    </w:rPr>
  </w:style>
  <w:style w:type="character" w:styleId="EndnoteReference">
    <w:name w:val="endnote reference"/>
    <w:basedOn w:val="DefaultParagraphFont"/>
    <w:uiPriority w:val="99"/>
    <w:semiHidden/>
    <w:unhideWhenUsed/>
    <w:rPr>
      <w:rFonts w:ascii="Arial" w:hAnsi="Arial" w:cs="Arial" w:eastAsia="Arial"/>
      <w:vertAlign w:val="superscript"/>
    </w:rPr>
  </w:style>
  <w:style w:type="paragraph" w:styleId="EndnoteText">
    <w:name w:val="endnote text"/>
    <w:basedOn w:val="Normal"/>
    <w:link w:val="EndnoteTextChar"/>
    <w:uiPriority w:val="99"/>
    <w:semiHidden/>
    <w:unhideWhenUsed/>
    <w:pPr>
      <w:spacing w:after="0" w:line="240" w:lineRule="auto"/>
    </w:pPr>
    <w:rPr>
      <w:rFonts w:ascii="Arial" w:hAnsi="Arial" w:cs="Arial" w:eastAsia="Arial"/>
      <w:sz w:val="20"/>
      <w:szCs w:val="20"/>
    </w:rPr>
  </w:style>
  <w:style w:type="character" w:styleId="EndnoteTextChar">
    <w:name w:val="Endnote Text Char"/>
    <w:basedOn w:val="DefaultParagraphFont"/>
    <w:link w:val="EndnoteText"/>
    <w:uiPriority w:val="99"/>
    <w:semiHidden/>
    <w:unhideWhenUsed/>
    <w:rPr>
      <w:rFonts w:ascii="Arial" w:hAnsi="Arial" w:cs="Arial" w:eastAsia="Arial"/>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B8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e8f252d8d4af69e2ef763e32ce3b854c2b4d7e.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2026-04-01T11:56:44.504Z</dcterms:created>
  <dcterms:modified xsi:type="dcterms:W3CDTF">2026-04-01T11:56:44.505Z</dcterms:modified>
</cp:coreProperties>
</file>

<file path=docProps/custom.xml><?xml version="1.0" encoding="utf-8"?>
<Properties xmlns="http://schemas.openxmlformats.org/officeDocument/2006/custom-properties" xmlns:vt="http://schemas.openxmlformats.org/officeDocument/2006/docPropsVTypes"/>
</file>