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jc w:val="center"/>
      </w:pPr>
      <w:r>
        <w:rPr>
          <w:rFonts w:ascii="Arial" w:hAnsi="Arial"/>
          <w:b/>
          <w:i w:val="0"/>
          <w:sz w:val="28"/>
        </w:rPr>
        <w:t>Clinical Evaluation of SPICY-AI in a Rapid Access Chest Pain Clinic:</w:t>
      </w:r>
    </w:p>
    <w:p>
      <w:pPr>
        <w:spacing w:after="240" w:line="240" w:lineRule="auto"/>
        <w:jc w:val="center"/>
      </w:pPr>
      <w:r>
        <w:rPr>
          <w:rFonts w:ascii="Arial" w:hAnsi="Arial"/>
          <w:b/>
          <w:i w:val="0"/>
          <w:sz w:val="28"/>
        </w:rPr>
        <w:t>A Comparative Validation Study of a Novel, Locally Deployed AI Model versus Physicians and GPT-4o</w:t>
      </w:r>
    </w:p>
    <w:p>
      <w:pPr>
        <w:spacing w:after="120" w:line="240" w:lineRule="auto"/>
        <w:jc w:val="center"/>
      </w:pPr>
      <w:r>
        <w:rPr>
          <w:rFonts w:ascii="Arial" w:hAnsi="Arial"/>
          <w:b w:val="0"/>
          <w:i w:val="0"/>
          <w:sz w:val="24"/>
        </w:rPr>
        <w:t>Thomas Moran, MBBS¹*  |  Conor Lees, MBBS¹  |  William Martin, MBBS¹  |  Andrew Black, MBBS, FRACP¹</w:t>
      </w:r>
    </w:p>
    <w:p>
      <w:pPr>
        <w:spacing w:after="480" w:line="240" w:lineRule="auto"/>
        <w:jc w:val="center"/>
      </w:pPr>
      <w:r>
        <w:rPr>
          <w:rFonts w:ascii="Arial" w:hAnsi="Arial"/>
          <w:b w:val="0"/>
          <w:i/>
          <w:sz w:val="22"/>
        </w:rPr>
        <w:t>¹ Department of Cardiology, Royal Hobart Hospital, Hobart, Tasmania, Australia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* Corresponding Author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  <w:t>Dr Thomas Moran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  <w:t>Department of Cardiology, Royal Hobart Hospital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  <w:t>48 Liverpool Street, Hobart, Tasmania 7000, Australia</w:t>
      </w:r>
    </w:p>
    <w:p>
      <w:pPr>
        <w:spacing w:after="360" w:line="240" w:lineRule="auto"/>
      </w:pPr>
      <w:r>
        <w:rPr>
          <w:rFonts w:ascii="Arial" w:hAnsi="Arial"/>
          <w:b w:val="0"/>
          <w:i w:val="0"/>
          <w:sz w:val="24"/>
        </w:rPr>
        <w:t>Email: thomas.moran@ths.tas.gov.au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Short (running) title: Locally Deployed RAG-LLM Validation in a RACPC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Article type: Original Article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Word count (manuscript body): ~3,500 words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Abstract word count: ~310 words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Number of figures: 3 (Figure 1 panels A, B; Figure 2; Figure 3 [pipeline])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Number of tables: 2</w:t>
      </w:r>
    </w:p>
    <w:p>
      <w:pPr>
        <w:spacing w:after="360" w:line="240" w:lineRule="auto"/>
      </w:pPr>
      <w:r>
        <w:rPr>
          <w:rFonts w:ascii="Arial" w:hAnsi="Arial"/>
          <w:b/>
          <w:i w:val="0"/>
          <w:sz w:val="24"/>
        </w:rPr>
        <w:t>Number of references: 18</w:t>
      </w:r>
    </w:p>
    <w:p>
      <w:pPr>
        <w:spacing w:after="360" w:line="240" w:lineRule="auto"/>
      </w:pPr>
      <w:r>
        <w:rPr>
          <w:rFonts w:ascii="Arial" w:hAnsi="Arial"/>
          <w:b w:val="0"/>
          <w:i w:val="0"/>
          <w:sz w:val="22"/>
        </w:rPr>
        <w:t>Ethics: Approved by the Royal Hobart Hospital Human Research Ethics Committee (HREC Reference: 2025_ETH01927). Individual patient consent was waived for this retrospective audit of fully de-identified data.</w:t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Conflicts of interest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  <w:t>The authors declare no conflicts of interest. SPICY-AI was developed by Dr Thomas Moran as part of research activities associated with cardiology advanced training; no external funding or commercial interests were involved.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Funding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  <w:t>This research received no specific grant from any funding agency in the public, commercial, or not-for-profit sectors.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Author contributions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  <w:t>TM: Conceptualisation, study design, data collection, AI model development (SPICY-AI), blinded outcome scoring, statistical analysis, manuscript preparation. CL: Data collection, manuscript review. WM: Data collection, manuscript review. AB: Senior supervision, clinical expertise, manuscript review and revision. All authors approved the final manuscript.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</w:r>
    </w:p>
    <w:p>
      <w:pPr>
        <w:spacing w:after="120" w:line="240" w:lineRule="auto"/>
      </w:pPr>
      <w:r>
        <w:rPr>
          <w:rFonts w:ascii="Arial" w:hAnsi="Arial"/>
          <w:b/>
          <w:i w:val="0"/>
          <w:sz w:val="24"/>
        </w:rPr>
        <w:t>Keywords</w:t>
      </w:r>
    </w:p>
    <w:p>
      <w:pPr>
        <w:spacing w:after="120" w:line="240" w:lineRule="auto"/>
      </w:pPr>
      <w:r>
        <w:rPr>
          <w:rFonts w:ascii="Arial" w:hAnsi="Arial"/>
          <w:b w:val="0"/>
          <w:i w:val="0"/>
          <w:sz w:val="24"/>
        </w:rPr>
        <w:t>Artificial intelligence; large language model; chest pain; rapid access chest pain clinic; retrieval-augmented generation; clinical decision support.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