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附录A.2 跳跃检测与跳跃收益构建的数学过程</w:t>
      </w:r>
    </w:p>
    <w:p>
      <w:r>
        <w:rPr>
          <w:b w:val="0"/>
        </w:rPr>
        <w:t>本文档逐步记录 main.ipynb 第 1.6 节（表5/表6/表7）所用的日内跳跃检测方法的全部数学过程与实现细节，供逐行复查。方法来源：论文附录 A.2（Barndorff-Nielsen &amp; Shephard 2004, 2006；Andersen et al. 2012；Huang &amp; Tauchen 2005；Jiang &amp; Zhu 2017）。</w:t>
      </w:r>
    </w:p>
    <w:p>
      <w:pPr>
        <w:pStyle w:val="Heading1"/>
      </w:pPr>
      <w:r>
        <w:rPr>
          <w:color w:val="000000"/>
        </w:rPr>
        <w:t>1. 模型设定：跳跃-扩散过程</w:t>
      </w:r>
    </w:p>
    <w:p>
      <w:pPr>
        <w:ind w:firstLine="440"/>
      </w:pPr>
      <w:r>
        <w:rPr>
          <w:b w:val="0"/>
        </w:rPr>
        <w:t>假设个股的（对数）价格 p_t 服从跳跃-扩散过程：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dp_t = μ_t dt + σ_t dW_t + dJ_t</w:t>
      </w:r>
    </w:p>
    <w:p>
      <w:pPr>
        <w:ind w:firstLine="440"/>
      </w:pPr>
      <w:r>
        <w:rPr>
          <w:b w:val="0"/>
        </w:rPr>
        <w:t>其中 μ_t 为漂移项，σ_t 为扩散波动率，W_t 为布朗运动，J_t 为跳跃过程。二次变差（QV）可分解为连续成分（积分方差 IV）与跳跃成分；有限样本下 QV 由已实现方差 RV 近似，IV 由 MedRV（中位数已实现方差）近似——MedRV 对陈旧价格（stale prices）具有更好的有限样本稳健性与渐近效率（Andersen et al. 2012）。</w:t>
      </w:r>
    </w:p>
    <w:p>
      <w:pPr>
        <w:pStyle w:val="Heading1"/>
      </w:pPr>
      <w:r>
        <w:rPr>
          <w:color w:val="000000"/>
        </w:rPr>
        <w:t>2. 数据网格与5分钟收益率构造</w:t>
      </w:r>
    </w:p>
    <w:p>
      <w:pPr>
        <w:ind w:firstLine="440"/>
      </w:pPr>
      <w:r>
        <w:rPr>
          <w:b w:val="0"/>
        </w:rPr>
        <w:t>每个交易日取 49 个价格点构成网格：9:30 开盘价（集合竞价），以及 9:35, 9:40, …, 11:30, 13:05, …, 15:00 共 48 个 5 分钟收盘价（本地分钟 bar 按结束时间打标）。</w:t>
      </w:r>
    </w:p>
    <w:p>
      <w:pPr>
        <w:ind w:firstLine="440"/>
      </w:pPr>
      <w:r>
        <w:rPr>
          <w:b w:val="0"/>
        </w:rPr>
        <w:t>对数（几何）收益序列：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r_j = ln(P_j / P_{j-1}),  j = 1, …, 48</w:t>
      </w:r>
    </w:p>
    <w:p>
      <w:pPr>
        <w:ind w:firstLine="440"/>
      </w:pPr>
      <w:r>
        <w:rPr>
          <w:b w:val="0"/>
        </w:rPr>
        <w:t>区间覆盖：9:30→9:35（首区间）、9:35→9:40、…、11:25→11:30、11:30→13:05（午间跨段）、…、14:55→15:00，合计 M = 48 个区间。</w:t>
      </w:r>
    </w:p>
    <w:p>
      <w:pPr>
        <w:ind w:firstLine="440"/>
      </w:pPr>
      <w:r>
        <w:rPr>
          <w:b/>
        </w:rPr>
        <w:t>两处原文未写死的口径（已与研究负责人确认）：</w:t>
      </w:r>
    </w:p>
    <w:p>
      <w:r>
        <w:rPr>
          <w:b w:val="0"/>
        </w:rPr>
        <w:t>① 首区间 9:30开盘价→9:35收盘价 纳入检测——隔夜跳空若足够大可被判为跳跃；</w:t>
      </w:r>
    </w:p>
    <w:p>
      <w:r>
        <w:rPr>
          <w:b w:val="0"/>
        </w:rPr>
        <w:t>② 午间跨段 11:30→13:05 作为一个区间纳入——午间信息冲击可被判为跳跃。</w:t>
      </w:r>
    </w:p>
    <w:p>
      <w:r>
        <w:rPr>
          <w:b w:val="0"/>
        </w:rPr>
        <w:t>③ 价格网格不完整或含非正价格（停牌、坏点哨兵）的交易日不做检测，按无跳跃日处理。</w:t>
      </w:r>
    </w:p>
    <w:p>
      <w:pPr>
        <w:pStyle w:val="Heading1"/>
      </w:pPr>
      <w:r>
        <w:rPr>
          <w:color w:val="000000"/>
        </w:rPr>
        <w:t>3. RV、MedRV、MedRQ 的定义</w:t>
      </w:r>
    </w:p>
    <w:p>
      <w:pPr>
        <w:ind w:firstLine="440"/>
      </w:pPr>
      <w:r>
        <w:rPr>
          <w:b w:val="0"/>
        </w:rPr>
        <w:t>已实现方差：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RV = Σ_{j=1}^{M} r_j²</w:t>
      </w:r>
    </w:p>
    <w:p>
      <w:pPr>
        <w:ind w:firstLine="440"/>
      </w:pPr>
      <w:r>
        <w:rPr>
          <w:b w:val="0"/>
        </w:rPr>
        <w:t>中位数已实现方差：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MedRV = [π / (6 − 4√3 + π)] · [M / (M − 2)] · Σ_{j=3}^{M} med(|r_j|, |r_{j-1}|, |r_{j-2}|)²</w:t>
      </w:r>
    </w:p>
    <w:p>
      <w:pPr>
        <w:ind w:firstLine="440"/>
      </w:pPr>
      <w:r>
        <w:rPr>
          <w:b w:val="0"/>
        </w:rPr>
        <w:t>高阶四次幂估计量：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MedRQ = [3πM / (9π + 72 − 52√3)] · [M / (M − 2)] · Σ_{j=3}^{M} med(|r_j|, |r_{j-1}|, |r_{j-2}|)⁴</w:t>
      </w:r>
    </w:p>
    <w:p>
      <w:pPr>
        <w:ind w:firstLine="440"/>
      </w:pPr>
      <w:r>
        <w:rPr>
          <w:b w:val="0"/>
        </w:rPr>
        <w:t>其中 med(·) 为三者中位数。M = 48 时常数取值：</w:t>
      </w:r>
    </w:p>
    <w:p>
      <w:r>
        <w:rPr>
          <w:b w:val="0"/>
        </w:rPr>
        <w:t>C₁ = π / (6 − 4√3 + π) = 1.41927；</w:t>
      </w:r>
    </w:p>
    <w:p>
      <w:r>
        <w:rPr>
          <w:b w:val="0"/>
        </w:rPr>
        <w:t>C₂ = 3πM / (9π + 72 − 52√3) = 44.3215；</w:t>
      </w:r>
    </w:p>
    <w:p>
      <w:r>
        <w:rPr>
          <w:b w:val="0"/>
        </w:rPr>
        <w:t>M/(M−2) = 48/46 = 1.04348。</w:t>
      </w:r>
    </w:p>
    <w:p>
      <w:pPr>
        <w:pStyle w:val="Heading1"/>
      </w:pPr>
      <w:r>
        <w:rPr>
          <w:color w:val="000000"/>
        </w:rPr>
        <w:t>4. 比率检验统计量 Z 与临界值</w:t>
      </w:r>
    </w:p>
    <w:p>
      <w:pPr>
        <w:ind w:firstLine="440"/>
      </w:pPr>
      <w:r>
        <w:rPr>
          <w:b w:val="0"/>
        </w:rPr>
        <w:t>Huang &amp; Tauchen (2005) 比率统计量：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Z = √M · (RV − MedRV) / RV / √{ θ · max(1, MedRQ / MedRV²) }</w:t>
      </w:r>
    </w:p>
    <w:p>
      <w:pPr>
        <w:ind w:firstLine="440"/>
      </w:pPr>
      <w:r>
        <w:rPr>
          <w:b w:val="0"/>
        </w:rPr>
        <w:t>其中常数 θ 由 μ₁ = E|N(0,1)| = √(2/π) = 0.79788 导出：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θ = μ₁⁻⁴ + 2μ₁⁻² − 5 = (π/2)² + π − 5 = 0.60898</w:t>
      </w:r>
    </w:p>
    <w:p>
      <w:pPr>
        <w:ind w:firstLine="440"/>
      </w:pPr>
      <w:r>
        <w:rPr>
          <w:b w:val="0"/>
        </w:rPr>
        <w:t>原假设（当日无跳跃）下 Z 渐近服从标准正态。论文显著性水平 α = 0.01%（Beine et al. 2007；Evans 2011；Bajgrowicz et al. 2015），即右侧临界值：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Φ⁻¹(1 − α) = Φ⁻¹(0.9999) = 3.71902</w:t>
      </w:r>
    </w:p>
    <w:p>
      <w:pPr>
        <w:ind w:firstLine="440"/>
      </w:pPr>
      <w:r>
        <w:rPr>
          <w:b w:val="0"/>
        </w:rPr>
        <w:t>Z &gt; 3.71902 的交易日进入递归跳跃识别（第5节）。</w:t>
      </w:r>
    </w:p>
    <w:p>
      <w:pPr>
        <w:pStyle w:val="Heading1"/>
      </w:pPr>
      <w:r>
        <w:rPr>
          <w:color w:val="000000"/>
        </w:rPr>
        <w:t>5. 递归日内跳跃识别（论文 Step 1–4）</w:t>
      </w:r>
    </w:p>
    <w:p>
      <w:pPr>
        <w:ind w:firstLine="440"/>
      </w:pPr>
      <w:r>
        <w:rPr>
          <w:b w:val="0"/>
        </w:rPr>
        <w:t>Step 1：若日 i 的比率统计量 Z_i 显著（Z_i &gt; Φ⁻¹(1−α)），记录 Z_i，并取出当日 M 个几何收益 {r_{i,1}, …, r_{i,M}}。</w:t>
      </w:r>
    </w:p>
    <w:p>
      <w:pPr>
        <w:ind w:firstLine="440"/>
      </w:pPr>
      <w:r>
        <w:rPr>
          <w:b w:val="0"/>
        </w:rPr>
        <w:t>Step 2：对每个 j = 1,…,M，生成修正序列——把第 j 个元素替换为当日收益中位数 r_{i,median}，其余不动；对 M 个修正序列分别重新计算 Z，得到 {Z_i(1), …, Z_i(M)}。</w:t>
      </w:r>
    </w:p>
    <w:p>
      <w:pPr>
        <w:ind w:firstLine="440"/>
      </w:pPr>
      <w:r>
        <w:rPr>
          <w:b w:val="0"/>
        </w:rPr>
        <w:t>Step 3：计算原 Z 与各新 Z 的差 {Z_i − Z_i(J)}；使下式取最大的 J 对应的收益 r_{i,J} 判定为跳跃：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I{Z_i &gt; Φ⁻¹(1−α)} · max_{J∈{1,…,M}} ( Z_i − Z_i(J) )</w:t>
      </w:r>
    </w:p>
    <w:p>
      <w:pPr>
        <w:ind w:firstLine="440"/>
      </w:pPr>
      <w:r>
        <w:rPr>
          <w:b w:val="0"/>
        </w:rPr>
        <w:t>Step 4：保留修正后的 Z_i(J)。若 Z_i(J) 已低于临界值，则当日只有一个跳跃；若仍超过临界值，则把已识别跳跃替换为 r_{i,median}，回到 Step 1 继续识别第二个跳跃，直至 Z 不再显著。</w:t>
      </w:r>
    </w:p>
    <w:p>
      <w:pPr>
        <w:ind w:firstLine="440"/>
      </w:pPr>
      <w:r>
        <w:rPr>
          <w:b w:val="0"/>
        </w:rPr>
        <w:t>伪跳跃过滤（Jiang &amp; Zhu 2017）：跳跃的价格变动幅度若小于两倍最小报价单位（0.01元 × 2 = 0.02元），即 |r_J| × P_{J-1} &lt; 0.02 元，则判定为买卖价差噪声，不予记录。</w:t>
      </w:r>
    </w:p>
    <w:p>
      <w:pPr>
        <w:pStyle w:val="Heading1"/>
      </w:pPr>
      <w:r>
        <w:rPr>
          <w:color w:val="000000"/>
        </w:rPr>
        <w:t>6. 跳跃日判定（PJ / NJ 日）</w:t>
      </w:r>
    </w:p>
    <w:p>
      <w:pPr>
        <w:ind w:firstLine="440"/>
      </w:pPr>
      <w:r>
        <w:rPr>
          <w:b w:val="0"/>
        </w:rPr>
        <w:t>当日所有已识别跳跃收益求和得到累计跳跃收益：</w:t>
      </w:r>
    </w:p>
    <w:p>
      <w:pPr>
        <w:jc w:val="center"/>
      </w:pPr>
      <w:r>
        <w:rPr>
          <w:rFonts w:ascii="Cambria Math" w:hAnsi="Cambria Math"/>
          <w:i w:val="0"/>
          <w:sz w:val="24"/>
        </w:rPr>
        <w:t>CJ_i = Σ 跳跃收益 r_{i,J}</w:t>
      </w:r>
    </w:p>
    <w:p>
      <w:pPr>
        <w:ind w:firstLine="440"/>
      </w:pPr>
      <w:r>
        <w:rPr>
          <w:b w:val="0"/>
        </w:rPr>
        <w:t>CJ_i &gt; 0 → 正跳跃日（PJ 日）；CJ_i &lt; 0 → 负跳跃日（NJ 日）；无跳跃或 CJ_i = 0 → 普通日。回归用 PJ_t / NJ_t 为前一交易日是否为正/负跳跃日的虚拟变量。</w:t>
      </w:r>
    </w:p>
    <w:p>
      <w:pPr>
        <w:pStyle w:val="Heading1"/>
      </w:pPr>
      <w:r>
        <w:rPr>
          <w:color w:val="000000"/>
        </w:rPr>
        <w:t>7. 数值实现细节</w:t>
      </w:r>
    </w:p>
    <w:p>
      <w:r>
        <w:rPr>
          <w:b w:val="0"/>
        </w:rPr>
        <w:t>第一阶段（向量化初筛）：对每只股票全部交易日的 48 维收益矩阵一次性计算 RV、MedRV、MedRQ、Z；只有 Z 超过临界值的交易日进入第二阶段。</w:t>
      </w:r>
    </w:p>
    <w:p>
      <w:r>
        <w:rPr>
          <w:b w:val="0"/>
        </w:rPr>
        <w:t>第二阶段（递归识别）：对候选日逐个执行 Step 1–4。替换第 j 个收益只影响 med(·) 序列的第 j−2、j−1、j 项，因此 RV、Σmed²、Σmed⁴ 均为 O(1) 增量更新，46 个候选区间逐一试算取最优。</w:t>
      </w:r>
    </w:p>
    <w:p>
      <w:r>
        <w:rPr>
          <w:b w:val="0"/>
        </w:rPr>
        <w:t>边界处理：RV = 0（全日无波动）时 Z 无定义，记为不显著；单日跳跃数上限 M−2。</w:t>
      </w:r>
    </w:p>
    <w:p>
      <w:pPr>
        <w:pStyle w:val="Heading1"/>
      </w:pPr>
      <w:r>
        <w:rPr>
          <w:color w:val="000000"/>
        </w:rPr>
        <w:t>8. 与论文附录 A.2 的参数逐项核对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论文（附录A.2）</w:t>
            </w:r>
          </w:p>
        </w:tc>
        <w:tc>
          <w:tcPr>
            <w:tcW w:type="dxa" w:w="2880"/>
          </w:tcPr>
          <w:p>
            <w:r>
              <w:t>本复现实现</w:t>
            </w:r>
          </w:p>
        </w:tc>
      </w:tr>
      <w:tr>
        <w:tc>
          <w:tcPr>
            <w:tcW w:type="dxa" w:w="2880"/>
          </w:tcPr>
          <w:p>
            <w:r>
              <w:t>采样频率</w:t>
            </w:r>
          </w:p>
        </w:tc>
        <w:tc>
          <w:tcPr>
            <w:tcW w:type="dxa" w:w="2880"/>
          </w:tcPr>
          <w:p>
            <w:r>
              <w:t>5分钟</w:t>
            </w:r>
          </w:p>
        </w:tc>
        <w:tc>
          <w:tcPr>
            <w:tcW w:type="dxa" w:w="2880"/>
          </w:tcPr>
          <w:p>
            <w:r>
              <w:t>5分钟（M = 48 个区间/日）</w:t>
            </w:r>
          </w:p>
        </w:tc>
      </w:tr>
      <w:tr>
        <w:tc>
          <w:tcPr>
            <w:tcW w:type="dxa" w:w="2880"/>
          </w:tcPr>
          <w:p>
            <w:r>
              <w:t>收益类型</w:t>
            </w:r>
          </w:p>
        </w:tc>
        <w:tc>
          <w:tcPr>
            <w:tcW w:type="dxa" w:w="2880"/>
          </w:tcPr>
          <w:p>
            <w:r>
              <w:t>几何（对数）收益</w:t>
            </w:r>
          </w:p>
        </w:tc>
        <w:tc>
          <w:tcPr>
            <w:tcW w:type="dxa" w:w="2880"/>
          </w:tcPr>
          <w:p>
            <w:r>
              <w:t>ln(P_j / P_{j-1})</w:t>
            </w:r>
          </w:p>
        </w:tc>
      </w:tr>
      <w:tr>
        <w:tc>
          <w:tcPr>
            <w:tcW w:type="dxa" w:w="2880"/>
          </w:tcPr>
          <w:p>
            <w:r>
              <w:t>RV</w:t>
            </w:r>
          </w:p>
        </w:tc>
        <w:tc>
          <w:tcPr>
            <w:tcW w:type="dxa" w:w="2880"/>
          </w:tcPr>
          <w:p>
            <w:r>
              <w:t>Σ r_j²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</w:tr>
      <w:tr>
        <w:tc>
          <w:tcPr>
            <w:tcW w:type="dxa" w:w="2880"/>
          </w:tcPr>
          <w:p>
            <w:r>
              <w:t>MedRV 常数</w:t>
            </w:r>
          </w:p>
        </w:tc>
        <w:tc>
          <w:tcPr>
            <w:tcW w:type="dxa" w:w="2880"/>
          </w:tcPr>
          <w:p>
            <w:r>
              <w:t>π/(6−4√3+π) × M/(M−2)</w:t>
            </w:r>
          </w:p>
        </w:tc>
        <w:tc>
          <w:tcPr>
            <w:tcW w:type="dxa" w:w="2880"/>
          </w:tcPr>
          <w:p>
            <w:r>
              <w:t>一致（C₁=1.41927，M/(M−2)=1.04348）</w:t>
            </w:r>
          </w:p>
        </w:tc>
      </w:tr>
      <w:tr>
        <w:tc>
          <w:tcPr>
            <w:tcW w:type="dxa" w:w="2880"/>
          </w:tcPr>
          <w:p>
            <w:r>
              <w:t>MedRQ 常数</w:t>
            </w:r>
          </w:p>
        </w:tc>
        <w:tc>
          <w:tcPr>
            <w:tcW w:type="dxa" w:w="2880"/>
          </w:tcPr>
          <w:p>
            <w:r>
              <w:t>3πM/(9π+72−52√3) × M/(M−2)</w:t>
            </w:r>
          </w:p>
        </w:tc>
        <w:tc>
          <w:tcPr>
            <w:tcW w:type="dxa" w:w="2880"/>
          </w:tcPr>
          <w:p>
            <w:r>
              <w:t>一致（C₂=44.3215）</w:t>
            </w:r>
          </w:p>
        </w:tc>
      </w:tr>
      <w:tr>
        <w:tc>
          <w:tcPr>
            <w:tcW w:type="dxa" w:w="2880"/>
          </w:tcPr>
          <w:p>
            <w:r>
              <w:t>Z 统计量</w:t>
            </w:r>
          </w:p>
        </w:tc>
        <w:tc>
          <w:tcPr>
            <w:tcW w:type="dxa" w:w="2880"/>
          </w:tcPr>
          <w:p>
            <w:r>
              <w:t>√M(RV−MedRV)/RV / √[θ·max(1, MedRQ/MedRV²)]，θ=μ₁⁻⁴+2μ₁⁻²−5</w:t>
            </w:r>
          </w:p>
        </w:tc>
        <w:tc>
          <w:tcPr>
            <w:tcW w:type="dxa" w:w="2880"/>
          </w:tcPr>
          <w:p>
            <w:r>
              <w:t>一致（θ=0.60898）</w:t>
            </w:r>
          </w:p>
        </w:tc>
      </w:tr>
      <w:tr>
        <w:tc>
          <w:tcPr>
            <w:tcW w:type="dxa" w:w="2880"/>
          </w:tcPr>
          <w:p>
            <w:r>
              <w:t>显著性水平</w:t>
            </w:r>
          </w:p>
        </w:tc>
        <w:tc>
          <w:tcPr>
            <w:tcW w:type="dxa" w:w="2880"/>
          </w:tcPr>
          <w:p>
            <w:r>
              <w:t>α = 0.01%</w:t>
            </w:r>
          </w:p>
        </w:tc>
        <w:tc>
          <w:tcPr>
            <w:tcW w:type="dxa" w:w="2880"/>
          </w:tcPr>
          <w:p>
            <w:r>
              <w:t>一致（临界值 3.71902）</w:t>
            </w:r>
          </w:p>
        </w:tc>
      </w:tr>
      <w:tr>
        <w:tc>
          <w:tcPr>
            <w:tcW w:type="dxa" w:w="2880"/>
          </w:tcPr>
          <w:p>
            <w:r>
              <w:t>递归方案</w:t>
            </w:r>
          </w:p>
        </w:tc>
        <w:tc>
          <w:tcPr>
            <w:tcW w:type="dxa" w:w="2880"/>
          </w:tcPr>
          <w:p>
            <w:r>
              <w:t>Step 1–4，中位数替换</w:t>
            </w:r>
          </w:p>
        </w:tc>
        <w:tc>
          <w:tcPr>
            <w:tcW w:type="dxa" w:w="2880"/>
          </w:tcPr>
          <w:p>
            <w:r>
              <w:t>一致；另加两倍最小报价单位过滤（一致）</w:t>
            </w:r>
          </w:p>
        </w:tc>
      </w:tr>
    </w:tbl>
    <w:p>
      <w:pPr>
        <w:pStyle w:val="Heading1"/>
      </w:pPr>
      <w:r>
        <w:rPr>
          <w:color w:val="000000"/>
        </w:rPr>
        <w:t>9. 跳跃日占比差异的实证分析</w:t>
      </w:r>
    </w:p>
    <w:p>
      <w:r>
        <w:rPr>
          <w:b w:val="0"/>
        </w:rPr>
        <w:t>论文表5：PJ 日占比 14.09%、NJ 日占比 10.73%（合计约 25%）；本复现：PJ 3.54%、NJ 2.08%（合计 5.62%）。逐项核对表明参数与论文完全一致，差异不是参数设定问题。实证排查结果：</w:t>
      </w:r>
    </w:p>
    <w:p>
      <w:r>
        <w:rPr>
          <w:b w:val="0"/>
        </w:rPr>
        <w:t>① 样本构成影响很小：论文口径全样本（含小市值与ST股）的合计检出率为 5.88%，其中原股票池（大盘非ST）5.62%、边际小市值/ST组 6.44%——小市值/ST 只略高。</w:t>
      </w:r>
    </w:p>
    <w:p>
      <w:r>
        <w:rPr>
          <w:b w:val="0"/>
        </w:rPr>
        <w:t>② 伪跳跃过滤影响可忽略：72,366 日子样本中共识别 3,025 个跳跃，仅 2 个（0.1%）被 0.02 元过滤。</w:t>
      </w:r>
    </w:p>
    <w:p>
      <w:r>
        <w:rPr>
          <w:b w:val="0"/>
        </w:rPr>
        <w:t>③ 差异主要由临界值对应的 Z 分布决定（300 个股票年子样本，第一阶段 Z 超临界占比）：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显著性水平</w:t>
            </w:r>
          </w:p>
        </w:tc>
        <w:tc>
          <w:tcPr>
            <w:tcW w:type="dxa" w:w="2880"/>
          </w:tcPr>
          <w:p>
            <w:r>
              <w:t>临界值 Φ⁻¹(1−α)</w:t>
            </w:r>
          </w:p>
        </w:tc>
        <w:tc>
          <w:tcPr>
            <w:tcW w:type="dxa" w:w="2880"/>
          </w:tcPr>
          <w:p>
            <w:r>
              <w:t>Z 超临界占比</w:t>
            </w:r>
          </w:p>
        </w:tc>
      </w:tr>
      <w:tr>
        <w:tc>
          <w:tcPr>
            <w:tcW w:type="dxa" w:w="2880"/>
          </w:tcPr>
          <w:p>
            <w:r>
              <w:t>α = 0.01%（论文设定）</w:t>
            </w:r>
          </w:p>
        </w:tc>
        <w:tc>
          <w:tcPr>
            <w:tcW w:type="dxa" w:w="2880"/>
          </w:tcPr>
          <w:p>
            <w:r>
              <w:t>3.71902</w:t>
            </w:r>
          </w:p>
        </w:tc>
        <w:tc>
          <w:tcPr>
            <w:tcW w:type="dxa" w:w="2880"/>
          </w:tcPr>
          <w:p>
            <w:r>
              <w:t>3.93%</w:t>
            </w:r>
          </w:p>
        </w:tc>
      </w:tr>
      <w:tr>
        <w:tc>
          <w:tcPr>
            <w:tcW w:type="dxa" w:w="2880"/>
          </w:tcPr>
          <w:p>
            <w:r>
              <w:t>α = 0.1%</w:t>
            </w:r>
          </w:p>
        </w:tc>
        <w:tc>
          <w:tcPr>
            <w:tcW w:type="dxa" w:w="2880"/>
          </w:tcPr>
          <w:p>
            <w:r>
              <w:t>3.09023</w:t>
            </w:r>
          </w:p>
        </w:tc>
        <w:tc>
          <w:tcPr>
            <w:tcW w:type="dxa" w:w="2880"/>
          </w:tcPr>
          <w:p>
            <w:r>
              <w:t>7.99%</w:t>
            </w:r>
          </w:p>
        </w:tc>
      </w:tr>
      <w:tr>
        <w:tc>
          <w:tcPr>
            <w:tcW w:type="dxa" w:w="2880"/>
          </w:tcPr>
          <w:p>
            <w:r>
              <w:t>α = 1%</w:t>
            </w:r>
          </w:p>
        </w:tc>
        <w:tc>
          <w:tcPr>
            <w:tcW w:type="dxa" w:w="2880"/>
          </w:tcPr>
          <w:p>
            <w:r>
              <w:t>2.32635</w:t>
            </w:r>
          </w:p>
        </w:tc>
        <w:tc>
          <w:tcPr>
            <w:tcW w:type="dxa" w:w="2880"/>
          </w:tcPr>
          <w:p>
            <w:r>
              <w:t>16.21%</w:t>
            </w:r>
          </w:p>
        </w:tc>
      </w:tr>
    </w:tbl>
    <w:p>
      <w:r>
        <w:rPr>
          <w:b w:val="0"/>
        </w:rPr>
        <w:t>要使检出率达到论文的约 25%，临界值需降至约 2.0–2.2（相当于 α ≈ 1.5%–2.5%）。因此论文的 25% 检出率更可能来自其 TRTH 逐笔数据的微观结构离群点（tick 级噪声在5分钟聚合后仍偏多）、以及其样本期（1996–2018，含早期无涨跌停与高波动年代、小盘股占比更高）的数据特征，而非我们实现的参数错误。</w:t>
      </w:r>
    </w:p>
    <w:p>
      <w:r>
        <w:rPr>
          <w:b/>
        </w:rPr>
        <w:t>结论：跳跃检测参数与论文附录 A.2 逐项一致，无需修正；检出率差距为数据层面差异。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