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研究之路（二）：券商改良策略接入——从"结论冲突"到"安全并入"</w:t>
      </w:r>
    </w:p>
    <w:p>
      <w:pPr>
        <w:ind w:left="425"/>
      </w:pPr>
      <w:r>
        <w:rPr>
          <w:i/>
          <w:color w:val="505050"/>
        </w:rPr>
        <w:t>旗舰策略定型后，一份券商研报摆上桌：同样的噪声带策略，他们的两个"改进"效果显著——</w:t>
      </w:r>
    </w:p>
    <w:p>
      <w:pPr>
        <w:ind w:left="425"/>
      </w:pPr>
      <w:r>
        <w:rPr>
          <w:i/>
          <w:color w:val="505050"/>
        </w:rPr>
        <w:t>而我们的结论恰好相反：那两个改进在 A 股全是负贡献。</w:t>
      </w:r>
    </w:p>
    <w:p>
      <w:pPr>
        <w:ind w:left="425"/>
      </w:pPr>
      <w:r>
        <w:rPr>
          <w:i/>
          <w:color w:val="505050"/>
        </w:rPr>
        <w:t>本报告记录我们如何查清"谁对"，又如何把券商的改进安全地接进自己的体系。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第 1 步：冲突摆上台面——同策略、反结论</w:t>
      </w:r>
    </w:p>
    <w:p>
      <w:r>
        <w:t>2024 年 8 月的券商研报（新浪转载）与我们的旗舰研究，对同一策略给出相反判断：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改进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券商研报（中证500指数，2013-2024)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我们的结论（510300,2017-2025)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紧止损（当前带+VWAP)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Sharpe 2.11→**2.63**,MDD 减半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Sharpe 0.269→**−0.244**，失效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波动目标动态仓位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年化 26.8%→**42.3%**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总收益 −58%，严重失效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 小时三时点入场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采用（10:29/11:29/13:59)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采用（且证实有效）</w:t>
            </w:r>
          </w:p>
        </w:tc>
      </w:tr>
    </w:tbl>
    <w:p>
      <w:r>
        <w:t>两个团队测的是"同一个策略"，结论却相反。</w:t>
      </w:r>
      <w:r>
        <w:rPr>
          <w:b/>
        </w:rPr>
        <w:t>谁对？还是都对？</w:t>
      </w:r>
    </w:p>
    <w:p>
      <w:pPr>
        <w:pStyle w:val="Heading2"/>
      </w:pPr>
      <w:r>
        <w:t>第 2 步：先别争对错，把口径拆成原子</w:t>
      </w:r>
    </w:p>
    <w:p>
      <w:r>
        <w:t>我们把双方的全部口径差异列出来，一共六个原子差异：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差异点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券商研报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我们此前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标的层级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**指数**（信号级）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ETF（可交易级）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样本期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2013-01 ~ 2024-07（含 2015 股灾趋势日）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2017-01 ~ 2025-12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重入规则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**带外即入**（决策点价格在带外即可）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新跨越（armed，止损后不原地再入）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滑点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**零滑点**（仅万1佣金）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万1 + 1 tick 滑点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止损频率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每分钟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决策时点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决策网格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 小时三时点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半小时网格</w:t>
            </w:r>
          </w:p>
        </w:tc>
      </w:tr>
    </w:tbl>
    <w:p>
      <w:r>
        <w:rPr>
          <w:b/>
        </w:rPr>
        <w:t>实验设计</w:t>
      </w:r>
      <w:r>
        <w:t>：固定其他条件，逐项消融，定位"改进失效"的主因。</w:t>
      </w:r>
    </w:p>
    <w:p>
      <w:pPr>
        <w:pStyle w:val="Heading2"/>
      </w:pPr>
      <w:r>
        <w:t>第 3 步：消融实验——改进在指数层级真的成立</w:t>
      </w:r>
    </w:p>
    <w:p>
      <w:r>
        <w:t>按研报精确口径（h3 + 分钟止损 + 带外即入 + 零滑点），在 6 个对象（3 指数 + 3 ETF）上重测改进链：</w:t>
      </w:r>
    </w:p>
    <w:p>
      <w:pPr>
        <w:pStyle w:val="ListBullet"/>
      </w:pPr>
      <w:r>
        <w:rPr>
          <w:b/>
        </w:rPr>
        <w:t>中证500指数</w:t>
      </w:r>
      <w:r>
        <w:t xml:space="preserve">：初始 1.875 → 紧止损改进 </w:t>
      </w:r>
      <w:r>
        <w:rPr>
          <w:b/>
        </w:rPr>
        <w:t>2.547</w:t>
      </w:r>
      <w:r>
        <w:t xml:space="preserve"> → 加杠杆 </w:t>
      </w:r>
      <w:r>
        <w:rPr>
          <w:b/>
        </w:rPr>
        <w:t>2.672</w:t>
      </w:r>
      <w:r>
        <w:t>——</w:t>
      </w:r>
      <w:r>
        <w:rPr>
          <w:b/>
        </w:rPr>
        <w:t>改进成立，与研报方向一致</w:t>
      </w:r>
      <w:r>
        <w:t>;</w:t>
      </w:r>
    </w:p>
    <w:p>
      <w:pPr>
        <w:pStyle w:val="ListBullet"/>
      </w:pPr>
      <w:r>
        <w:t>沪深300 指数：1.150 → 1.825（成立）;</w:t>
      </w:r>
    </w:p>
    <w:p>
      <w:pPr>
        <w:pStyle w:val="ListBullet"/>
      </w:pPr>
      <w:r>
        <w:t>510300/510500 ETF：改进方向同样成立，但幅度打折。</w:t>
      </w:r>
    </w:p>
    <w:p>
      <w:r>
        <w:t>归因分解（510300，研报对齐段）: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因子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对 Sharpe 的影响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**滑点 1 tick**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**−0.4 ~ −1.6（最大元凶）**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单笔边际利润 ~10bps,1 tick≈2-3bps/边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重入规则（带外即入）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+0.1~+0.3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紧止损后价格常在带外，带外即入能重新上车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标的层级（指数→ETF)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−0.1~−0.4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ETF 的竞价/折溢价噪声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样本期（缺 2013-2015)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量级差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只影响数值高低，不改方向</w:t>
            </w:r>
          </w:p>
        </w:tc>
      </w:tr>
    </w:tbl>
    <w:p>
      <w:r>
        <w:rPr>
          <w:b/>
        </w:rPr>
        <w:t>那一刻想通的结论</w:t>
      </w:r>
      <w:r>
        <w:t>：两边都对——研报的改进在"指数+零滑点"的世界里成立；</w:t>
      </w:r>
    </w:p>
    <w:p>
      <w:r>
        <w:t>我们的失效结论是在"ETF+真实成本+新跨越+半小时网格"的世界里成立。</w:t>
      </w:r>
    </w:p>
    <w:p>
      <w:r>
        <w:rPr>
          <w:b/>
        </w:rPr>
        <w:t>改进能不能接，取决于执行成本，而不是逻辑。</w:t>
      </w:r>
    </w:p>
    <w:p>
      <w:pPr>
        <w:pStyle w:val="Heading2"/>
      </w:pPr>
      <w:r>
        <w:t>第 4 步：新情报——券商自己也在迭代（2.0 版三个改进）</w:t>
      </w:r>
    </w:p>
    <w:p>
      <w:r>
        <w:t>2025-12 西部证券《确定趋势：ETF 日内动量策略》针对初版的三个问题给出新改进（图 1):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97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roker_fig1_chain_index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97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06060"/>
          <w:sz w:val="18"/>
        </w:rPr>
        <w:t>研报改进策略净值（原文）</w:t>
      </w:r>
    </w:p>
    <w:p>
      <w:pPr>
        <w:pStyle w:val="ListNumber"/>
      </w:pPr>
      <w:r>
        <w:rPr>
          <w:b/>
        </w:rPr>
        <w:t>执行</w:t>
      </w:r>
      <w:r>
        <w:t xml:space="preserve">：信号后 </w:t>
      </w:r>
      <w:r>
        <w:rPr>
          <w:b/>
        </w:rPr>
        <w:t>5 分钟 VWAP/TWAP</w:t>
      </w:r>
      <w:r>
        <w:t xml:space="preserve"> 成交（次分钟开盘价"较难实现");</w:t>
      </w:r>
    </w:p>
    <w:p>
      <w:pPr>
        <w:pStyle w:val="ListNumber"/>
      </w:pPr>
      <w:r>
        <w:rPr>
          <w:b/>
        </w:rPr>
        <w:t>平仓过早 → 延迟平仓</w:t>
      </w:r>
      <w:r>
        <w:t xml:space="preserve">：止损方向翻转（多 min(UB,VWAP)/空 max(LB,VWAP))+ </w:t>
      </w:r>
      <w:r>
        <w:rPr>
          <w:b/>
        </w:rPr>
        <w:t>退出带收窄 ×0.7</w:t>
      </w:r>
      <w:r>
        <w:t>;</w:t>
      </w:r>
    </w:p>
    <w:p>
      <w:pPr>
        <w:pStyle w:val="ListNumber"/>
      </w:pPr>
      <w:r>
        <w:rPr>
          <w:b/>
        </w:rPr>
        <w:t>收益回吐 → 阶梯止盈</w:t>
      </w:r>
      <w:r>
        <w:t>：浮盈超过 stop_rate（指数近年平均日内波幅）先平 50%。</w:t>
      </w:r>
    </w:p>
    <w:p>
      <w:r>
        <w:t>原文结果（500 指数，2013-2025.10)：原始 13.2%/Sharpe 1.40 → 延迟平仓 19.4%/1.80 → +止盈 18.9%/</w:t>
      </w:r>
      <w:r>
        <w:rPr>
          <w:b/>
        </w:rPr>
        <w:t>2.10</w:t>
      </w:r>
      <w:r>
        <w:t>/MDD −6.6%。</w:t>
      </w:r>
    </w:p>
    <w:p>
      <w:r>
        <w:t>并且原文诚实写明：</w:t>
      </w:r>
      <w:r>
        <w:rPr>
          <w:b/>
        </w:rPr>
        <w:t>5 分钟 VWAP 成交后，上证50/沪深300 失效</w:t>
      </w:r>
      <w:r>
        <w:t>（定价效率高，信号必须快速成交）。</w:t>
      </w:r>
    </w:p>
    <w:p>
      <w:pPr>
        <w:pStyle w:val="Heading2"/>
      </w:pPr>
      <w:r>
        <w:t>第 5 步：在自家引擎上实现并复现整条改进链</w:t>
      </w:r>
    </w:p>
    <w:p>
      <w:r>
        <w:t>给引擎加了四个特性（全部参数化、向后兼容、锚点 19/19 不受影响）:</w:t>
      </w:r>
    </w:p>
    <w:p>
      <w:r>
        <w:rPr>
          <w:rFonts w:ascii="Consolas" w:hAnsi="Consolas"/>
          <w:sz w:val="18"/>
        </w:rPr>
        <w:t>fill_model="vwap5"</w:t>
      </w:r>
      <w:r>
        <w:t>（信号后 5 分钟 VWAP 成交）、</w:t>
      </w:r>
      <w:r>
        <w:rPr>
          <w:rFonts w:ascii="Consolas" w:hAnsi="Consolas"/>
          <w:sz w:val="18"/>
        </w:rPr>
        <w:t>stop_mode="band_vwap_loose"</w:t>
      </w:r>
      <w:r>
        <w:t>（放松平仓）、</w:t>
      </w:r>
    </w:p>
    <w:p>
      <w:r>
        <w:rPr>
          <w:rFonts w:ascii="Consolas" w:hAnsi="Consolas"/>
          <w:sz w:val="18"/>
        </w:rPr>
        <w:t>exit_mult</w:t>
      </w:r>
      <w:r>
        <w:t>（退出带收窄）、</w:t>
      </w:r>
      <w:r>
        <w:rPr>
          <w:rFonts w:ascii="Consolas" w:hAnsi="Consolas"/>
          <w:sz w:val="18"/>
        </w:rPr>
        <w:t>ladder_rate/frac</w:t>
      </w:r>
      <w:r>
        <w:t>（阶梯止盈，分腿精确核算）。</w:t>
      </w:r>
    </w:p>
    <w:p>
      <w:r>
        <w:t>按原文口径逐步复现（图 2):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56172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roker_fig3_chain_sharp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5617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06060"/>
          <w:sz w:val="18"/>
        </w:rPr>
        <w:t>改进链每步的边际贡献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8"/>
              </w:rPr>
              <w:t>标的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S0 原始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+5minVWAP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+放松平仓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+收窄0.7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+阶梯止盈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中证500**指数**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1.98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1.68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1.94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2.01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**2.17**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510500 ETF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1.28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0.95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1.21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1.15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1.07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159845 ETF(1000)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1.50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1.30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1.24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1.33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**1.61**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510300 ETF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1.06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0.65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0.60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0.68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0.60</w:t>
            </w:r>
          </w:p>
        </w:tc>
      </w:tr>
    </w:tbl>
    <w:p>
      <w:r>
        <w:rPr>
          <w:b/>
        </w:rPr>
        <w:t>指数层级完整复现研报方向（先损后升、最终超越）；同时复现了研报自己的否定：沪深300 在 5 分钟 VWAP 后 Sharpe 腰斩、救不回。</w:t>
      </w:r>
    </w:p>
    <w:p>
      <w:r>
        <w:t>两个独立团队在同一处摔倒——这反而是最强的互证。</w:t>
      </w:r>
    </w:p>
    <w:p>
      <w:pPr>
        <w:pStyle w:val="Heading2"/>
      </w:pPr>
      <w:r>
        <w:t>第 6 步：接入前的生死线——券商腿成本压力测试</w:t>
      </w:r>
    </w:p>
    <w:p>
      <w:r>
        <w:t>接入前最后一个问题：券商腿（延迟平仓+带外重入，交易趟数约为旗舰 1.5~2 倍）扛得住成本吗？（图 3)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929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roker_fig5_cost_stres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929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06060"/>
          <w:sz w:val="18"/>
        </w:rPr>
        <w:t>券商腿成本压力测试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腿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零滑点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+1 tick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510500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1.08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0.45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159845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1.53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**−0.85（转负）**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159915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1.94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0.39</w:t>
            </w:r>
          </w:p>
        </w:tc>
      </w:tr>
    </w:tbl>
    <w:p>
      <w:r>
        <w:t>**结论写死：券商策略只在"被动成交≈零滑点"的执行纪律下可用；付 1 tick 即失效。</w:t>
      </w:r>
    </w:p>
    <w:p>
      <w:r>
        <w:t>这也再次印证第 3 步的归因：改进之争的本质是成本之争。**</w:t>
      </w:r>
    </w:p>
    <w:p>
      <w:pPr>
        <w:pStyle w:val="Heading2"/>
      </w:pPr>
      <w:r>
        <w:t>第 7 步：混合配置定型——旗舰与券商各就各位</w:t>
      </w:r>
    </w:p>
    <w:p>
      <w:r>
        <w:t>两条腿的分工变得顺理成章：</w:t>
      </w:r>
    </w:p>
    <w:p>
      <w:pPr>
        <w:pStyle w:val="ListBullet"/>
      </w:pPr>
      <w:r>
        <w:rPr>
          <w:b/>
        </w:rPr>
        <w:t>300 用旗舰版</w:t>
      </w:r>
      <w:r>
        <w:t>（反向带止损、交易少、成本敏感度低、留出验证最充分）;</w:t>
      </w:r>
    </w:p>
    <w:p>
      <w:pPr>
        <w:pStyle w:val="ListBullet"/>
      </w:pPr>
      <w:r>
        <w:rPr>
          <w:b/>
        </w:rPr>
        <w:t>500/1000/创业用券商 2.0</w:t>
      </w:r>
      <w:r>
        <w:t>（高波动品种上延迟平仓+止盈显著占优）。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29727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roker_fig4_broker_equit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2972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06060"/>
          <w:sz w:val="18"/>
        </w:rPr>
        <w:t>券商腿净值（创业板）</w:t>
      </w:r>
    </w:p>
    <w:p>
      <w:r>
        <w:t>组合实测（2021-03~2025-12，对齐段，图 5):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81936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roker_fig6_mixe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8193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06060"/>
          <w:sz w:val="18"/>
        </w:rPr>
        <w:t>混合组合净值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组合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总收益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Sharpe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MDD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**等权四只（300旗舰+500/1000/创业券商）**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+54.5%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**1.69**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**−3.1%**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300旗舰+创业券商 50/50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+64.0%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1.81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−5.0%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参照：300 旗舰单跑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+22.7%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0.86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−5.0%</w:t>
            </w:r>
          </w:p>
        </w:tc>
      </w:tr>
    </w:tbl>
    <w:p>
      <w:r>
        <w:t>策略×标的双重分散（腿间相关性 0.31~0.55)，组合风险调整后显著优于任何单腿。</w:t>
      </w:r>
    </w:p>
    <w:p>
      <w:pPr>
        <w:pStyle w:val="Heading2"/>
      </w:pPr>
      <w:r>
        <w:t>第 8 步：接入清单——什么能用、什么不能用、怎么用</w:t>
      </w:r>
    </w:p>
    <w:p>
      <w:r>
        <w:rPr>
          <w:b/>
        </w:rPr>
        <w:t>可接入（已验证）</w:t>
      </w:r>
      <w:r>
        <w:t>:</w:t>
      </w:r>
    </w:p>
    <w:p>
      <w:pPr>
        <w:pStyle w:val="ListBullet"/>
      </w:pPr>
      <w:r>
        <w:t>延迟平仓（放松平仓+退出带收窄 0.7)：指数层级与 1000/创业 ETF 有效；</w:t>
      </w:r>
    </w:p>
    <w:p>
      <w:pPr>
        <w:pStyle w:val="ListBullet"/>
      </w:pPr>
      <w:r>
        <w:t>阶梯止盈（stop_rate 按标的指数近年平均日内波幅）:159845 上 1.30→1.61，效果显著；</w:t>
      </w:r>
    </w:p>
    <w:p>
      <w:pPr>
        <w:pStyle w:val="ListBullet"/>
      </w:pPr>
      <w:r>
        <w:t>带外即入（band_state）重入规则：零成本改进，Sharpe +0.1~0.3;</w:t>
      </w:r>
    </w:p>
    <w:p>
      <w:pPr>
        <w:pStyle w:val="ListBullet"/>
      </w:pPr>
      <w:r>
        <w:t>1 小时三时点：与旗舰一致，保留。</w:t>
      </w:r>
    </w:p>
    <w:p>
      <w:r>
        <w:rPr>
          <w:b/>
        </w:rPr>
        <w:t>不可接入（已证伪）</w:t>
      </w:r>
      <w:r>
        <w:t>:</w:t>
      </w:r>
    </w:p>
    <w:p>
      <w:pPr>
        <w:pStyle w:val="ListBullet"/>
      </w:pPr>
      <w:r>
        <w:t>5 分钟 VWAP 作为"信号改进"：它只是可执行性口径，对高效品种（300）是 Sharpe 腰斩级伤害；</w:t>
      </w:r>
    </w:p>
    <w:p>
      <w:pPr>
        <w:pStyle w:val="ListBullet"/>
      </w:pPr>
      <w:r>
        <w:t xml:space="preserve">VWAP </w:t>
      </w:r>
      <w:r>
        <w:rPr>
          <w:b/>
        </w:rPr>
        <w:t>紧</w:t>
      </w:r>
      <w:r>
        <w:t>止损（券商 2024 初版方向）+ 倒数波动择时：两个团队数据一致判负。</w:t>
      </w:r>
    </w:p>
    <w:p>
      <w:r>
        <w:rPr>
          <w:b/>
        </w:rPr>
        <w:t>使用前提（纪律）</w:t>
      </w:r>
      <w:r>
        <w:t>：券商腿必须被动挂单执行、实测冲击成本 &lt;0.5 tick；每腿独立监控（趟数×单笔均利作为成本侵蚀预警）；逐年评审参数，禁止月度调参。</w:t>
      </w:r>
    </w:p>
    <w:p>
      <w:pPr>
        <w:pStyle w:val="Heading2"/>
      </w:pPr>
      <w:r>
        <w:t>结语：这场"冲突"教会我们什么</w:t>
      </w:r>
    </w:p>
    <w:p>
      <w:r>
        <w:t>同一个策略，三个团队（论文作者、券商、我们）在三套口径下得到三套结论，</w:t>
      </w:r>
      <w:r>
        <w:rPr>
          <w:b/>
        </w:rPr>
        <w:t>而三套都是对的</w:t>
      </w:r>
      <w:r>
        <w:t>。</w:t>
      </w:r>
    </w:p>
    <w:p>
      <w:r>
        <w:t>策略研究的结论从来不说"这个策略好不好"，只说"在这个执行成本、这个标的层级、这个样本期下，这个规则边际多大"。</w:t>
      </w:r>
    </w:p>
    <w:p>
      <w:r>
        <w:t>把口径拆成原子、逐项消融，冲突就变成了可以工程的接入清单。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r>
        <w:t>*系列报告一：《旗舰策略研究之路》——旗舰策略从复现到定型的全过程。*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