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6AA8" w:rsidRDefault="00893306">
      <w:pPr>
        <w:spacing w:after="80"/>
        <w:jc w:val="center"/>
      </w:pPr>
      <w:r>
        <w:rPr>
          <w:b/>
          <w:sz w:val="36"/>
        </w:rPr>
        <w:t>GIỚI THIỆU DI TÍCH</w:t>
      </w:r>
    </w:p>
    <w:p w:rsidR="00876AA8" w:rsidRDefault="00893306">
      <w:pPr>
        <w:spacing w:after="80"/>
        <w:jc w:val="center"/>
      </w:pPr>
      <w:r>
        <w:rPr>
          <w:b/>
          <w:sz w:val="30"/>
        </w:rPr>
        <w:t>04. ĐÌNH TRUNG VĂN</w:t>
      </w:r>
    </w:p>
    <w:p w:rsidR="00876AA8" w:rsidRDefault="00893306">
      <w:pPr>
        <w:spacing w:before="160" w:after="80"/>
      </w:pPr>
      <w:r>
        <w:rPr>
          <w:b/>
          <w:sz w:val="28"/>
        </w:rPr>
        <w:t>I. THÔNG TIN KHÁI QUÁT</w:t>
      </w:r>
    </w:p>
    <w:p w:rsidR="00876AA8" w:rsidRDefault="00893306">
      <w:pPr>
        <w:spacing w:after="80"/>
        <w:ind w:left="280" w:hanging="280"/>
      </w:pPr>
      <w:r>
        <w:rPr>
          <w:b/>
        </w:rPr>
        <w:t>1. Tên di tích: Tên gọi hiện nay: Đình Trung Văn; tên gọi xưa theo hồ sơ: Đình Độc Bộ.</w:t>
      </w:r>
    </w:p>
    <w:p w:rsidR="00876AA8" w:rsidRDefault="00893306">
      <w:pPr>
        <w:spacing w:after="80"/>
        <w:ind w:left="280" w:hanging="280"/>
      </w:pPr>
      <w:r>
        <w:rPr>
          <w:b/>
        </w:rPr>
        <w:t>2. Địa điểm: TDP 7, Phố Đại Linh, Phường Đại Mỗ, Hà Nội; diện tích khuôn viên khoảng 1.154m².</w:t>
      </w:r>
    </w:p>
    <w:p w:rsidR="00876AA8" w:rsidRDefault="00893306">
      <w:pPr>
        <w:spacing w:after="80"/>
        <w:ind w:left="280" w:hanging="280"/>
      </w:pPr>
      <w:r>
        <w:rPr>
          <w:b/>
        </w:rPr>
        <w:t xml:space="preserve">3. Loại hình </w:t>
      </w:r>
      <w:r>
        <w:rPr>
          <w:b/>
        </w:rPr>
        <w:t>di tích: di tích tôn giáo, tín ngưỡng và kiến trúc – nghệ thuật. Hồ sơ đề nghị xếp hạng di tích kiến trúc nghệ thuật.</w:t>
      </w:r>
    </w:p>
    <w:p w:rsidR="00876AA8" w:rsidRDefault="00893306">
      <w:pPr>
        <w:spacing w:before="160" w:after="80"/>
      </w:pPr>
      <w:r>
        <w:rPr>
          <w:b/>
          <w:sz w:val="28"/>
        </w:rPr>
        <w:t>II. LỊCH SỬ HÌNH THÀNH VÀ PHÁT TRIỂN</w:t>
      </w:r>
    </w:p>
    <w:p w:rsidR="00876AA8" w:rsidRDefault="00893306">
      <w:pPr>
        <w:spacing w:after="80"/>
        <w:ind w:left="280" w:hanging="280"/>
      </w:pPr>
      <w:r>
        <w:rPr>
          <w:b/>
        </w:rPr>
        <w:t>1. Nguồn gốc hình thành: Đình được xác định xây dựng vào cuối thời Lê, đầu thời Nguyễn, dựa trên hệ t</w:t>
      </w:r>
      <w:r>
        <w:rPr>
          <w:b/>
        </w:rPr>
        <w:t>hống sắc phong sớm nhất có niên hiệu Minh Mạng 21 (1840) và những dấu tích kiến trúc còn lại.</w:t>
      </w:r>
    </w:p>
    <w:p w:rsidR="00876AA8" w:rsidRDefault="00893306">
      <w:pPr>
        <w:spacing w:after="80"/>
        <w:ind w:left="280" w:hanging="280"/>
      </w:pPr>
      <w:r>
        <w:rPr>
          <w:b/>
        </w:rPr>
        <w:t>2. Niên đại và tư liệu xác định: Đình đã trải qua nhiều lần sửa chữa. Một số cấu kiện gỗ, cửa, nền và các mảng chạm khắc đã được khôi phục; hệ thống vì kèo và hiệ</w:t>
      </w:r>
      <w:r>
        <w:rPr>
          <w:b/>
        </w:rPr>
        <w:t>n vật cũ cơ bản được bảo tồn.</w:t>
      </w:r>
    </w:p>
    <w:p w:rsidR="00876AA8" w:rsidRDefault="00893306">
      <w:pPr>
        <w:spacing w:before="160" w:after="80"/>
      </w:pPr>
      <w:r>
        <w:rPr>
          <w:b/>
          <w:sz w:val="28"/>
        </w:rPr>
        <w:t>III. NHÂN VẬT, SỰ KIỆN VÀ TRUYỀN THUYẾT GẮN VỚI DI TÍCH</w:t>
      </w:r>
    </w:p>
    <w:p w:rsidR="00876AA8" w:rsidRDefault="00893306">
      <w:pPr>
        <w:spacing w:after="80"/>
        <w:ind w:left="280" w:hanging="280"/>
        <w:rPr>
          <w:lang w:val="vi-VN"/>
        </w:rPr>
      </w:pPr>
      <w:r>
        <w:rPr>
          <w:b/>
        </w:rPr>
        <w:t xml:space="preserve">1. Nhân vật được thờ: Đình thờ Đào </w:t>
      </w:r>
      <w:r>
        <w:rPr>
          <w:b/>
          <w:lang w:val="vi-VN"/>
        </w:rPr>
        <w:t>Tướng Công Ông sinh ngày 10-3 năm vĩnh tộ thứ 6(1624) đời Lê Thần Tông tại thôn dộc bé nay là thôn trung văn ,lúc nhỏ ông theo nghiệp b</w:t>
      </w:r>
      <w:r>
        <w:rPr>
          <w:b/>
          <w:lang w:val="vi-VN"/>
        </w:rPr>
        <w:t>út nghiêng sau ông lập thân băng nghiệp võ.Sinh thời ông là một trong các võ tướng có nhiều công lao.Trong khi giao chiến với quận chúa Nguyễn tại huyện Thiên Lộc( nay thuộc can lộc và hậu lộc,tỉnh Hà Tĩnh)Ông đã hy sinh ngày 18 tháng 11 năm vĩnh thọ năm t</w:t>
      </w:r>
      <w:r>
        <w:rPr>
          <w:b/>
          <w:lang w:val="vi-VN"/>
        </w:rPr>
        <w:t>hứ 3(1660)trong khi giao chiến với quân chúa Nguyễn.Ông được triều đình phong làm thiếu bảo,đồng thời cấp ruộng thờ,cho dân lập đền thờ cúng.Lăng mộ của ông tại thôn trung văn nay là tổ dân phố số 7 trung văn .Sang thời Nguyễn ngoài được thờ ở miếu riêng ô</w:t>
      </w:r>
      <w:r>
        <w:rPr>
          <w:b/>
          <w:lang w:val="vi-VN"/>
        </w:rPr>
        <w:t>ng được phong làm thành Hoàng 2 thôn, thượng văn và trung văn được nhân dân tôn kính phụng thờ hương khói.</w:t>
      </w:r>
    </w:p>
    <w:p w:rsidR="00876AA8" w:rsidRDefault="00893306">
      <w:pPr>
        <w:spacing w:after="80"/>
        <w:ind w:left="280" w:hanging="280"/>
      </w:pPr>
      <w:r>
        <w:rPr>
          <w:b/>
        </w:rPr>
        <w:t>2. Truyền thuyết và công trạng: Đình còn lưu giữ các sắc phong ghi nhận công trạng của ông, sắc sớm nhất Minh Mạng 21 (1840), sắc muộn Khải Định 9 (1</w:t>
      </w:r>
      <w:r>
        <w:rPr>
          <w:b/>
        </w:rPr>
        <w:t>924).</w:t>
      </w:r>
    </w:p>
    <w:p w:rsidR="00876AA8" w:rsidRDefault="00893306">
      <w:pPr>
        <w:spacing w:after="80"/>
        <w:ind w:left="280" w:hanging="280"/>
      </w:pPr>
      <w:r>
        <w:rPr>
          <w:b/>
        </w:rPr>
        <w:t>3. Dấu ấn lịch sử: Đình từng là nơi sinh hoạt văn hóa, chính trị của cộng đồng; trong thời kỳ cách mạng và kháng chiến, nơi đây được sử dụng cho hội họp, huấn luyện, hậu cần và hoạt động của lực lượng địa phương.</w:t>
      </w:r>
    </w:p>
    <w:p w:rsidR="00876AA8" w:rsidRDefault="00893306">
      <w:pPr>
        <w:spacing w:before="160" w:after="80"/>
      </w:pPr>
      <w:r>
        <w:rPr>
          <w:b/>
          <w:sz w:val="28"/>
        </w:rPr>
        <w:t>IV. KIẾN TRÚC VÀ CẢNH QUAN DI TÍCH</w:t>
      </w:r>
    </w:p>
    <w:p w:rsidR="00876AA8" w:rsidRDefault="00893306">
      <w:pPr>
        <w:spacing w:after="80"/>
        <w:ind w:left="280" w:hanging="280"/>
      </w:pPr>
      <w:r>
        <w:rPr>
          <w:b/>
        </w:rPr>
        <w:lastRenderedPageBreak/>
        <w:t>1.</w:t>
      </w:r>
      <w:r>
        <w:rPr>
          <w:b/>
        </w:rPr>
        <w:t xml:space="preserve"> Bố cục tổng thể: Đình quay hướng Đông Nam, phía trước là sân rộng, phía sau có lũy tre; bên phải là ao sen, bên trái là đường làng. Tổng thể gồm sân đình, nhà bia, đại đình và hậu cung.</w:t>
      </w:r>
    </w:p>
    <w:p w:rsidR="00876AA8" w:rsidRDefault="00893306">
      <w:pPr>
        <w:spacing w:after="80"/>
        <w:ind w:left="280" w:hanging="280"/>
      </w:pPr>
      <w:r>
        <w:rPr>
          <w:b/>
        </w:rPr>
        <w:t>2. Các hạng mục kiến trúc: Đại đình 5 gian, kiến trúc chữ Đinh, mái n</w:t>
      </w:r>
      <w:r>
        <w:rPr>
          <w:b/>
        </w:rPr>
        <w:t>gói ta, trang trí rồng, phượng, mây và các mảng chạm khắc sinh hoạt quan lại.</w:t>
      </w:r>
    </w:p>
    <w:p w:rsidR="00876AA8" w:rsidRDefault="00893306">
      <w:pPr>
        <w:spacing w:after="80"/>
        <w:ind w:left="280" w:hanging="280"/>
      </w:pPr>
      <w:r>
        <w:rPr>
          <w:b/>
        </w:rPr>
        <w:t>3. Nghệ thuật trang trí: Hậu cung gồm 3 gian chính và một gian nối với đại đình; các cốn, đầu dư, bẩy và cửa võng được chạm khắc công phu.</w:t>
      </w:r>
    </w:p>
    <w:p w:rsidR="00876AA8" w:rsidRDefault="00893306">
      <w:pPr>
        <w:spacing w:before="160" w:after="80"/>
      </w:pPr>
      <w:r>
        <w:rPr>
          <w:b/>
          <w:sz w:val="28"/>
        </w:rPr>
        <w:t>V. HỆ THỐNG TƯỢNG THỜ, DI VẬT VÀ HIỆN V</w:t>
      </w:r>
      <w:r>
        <w:rPr>
          <w:b/>
          <w:sz w:val="28"/>
        </w:rPr>
        <w:t>ẬT</w:t>
      </w:r>
    </w:p>
    <w:p w:rsidR="00876AA8" w:rsidRDefault="00893306">
      <w:pPr>
        <w:spacing w:after="80"/>
        <w:ind w:left="280" w:hanging="280"/>
      </w:pPr>
      <w:r>
        <w:rPr>
          <w:b/>
        </w:rPr>
        <w:t>1. Tượng thờ: Hồ sơ ghi nhận nhang án, ban thờ, cửa võng, bát bửu, long đình, giáo đao, cuốn thư gỗ, 16 đạo sắc phong, 3 mâm bồng, 5 đôi đèn nến và nhiều đồ sứ.</w:t>
      </w:r>
    </w:p>
    <w:p w:rsidR="00876AA8" w:rsidRDefault="00893306">
      <w:pPr>
        <w:spacing w:after="80"/>
        <w:ind w:left="280" w:hanging="280"/>
      </w:pPr>
      <w:r>
        <w:rPr>
          <w:b/>
        </w:rPr>
        <w:t>2. Di vật và đồ thờ: Nổi bật là nhang án sơn son thếp vàng và bộ cửa võng chạm Cửu Long, cùn</w:t>
      </w:r>
      <w:r>
        <w:rPr>
          <w:b/>
        </w:rPr>
        <w:t>g hệ thống hoành phi, câu đối và cuốn thư.</w:t>
      </w:r>
    </w:p>
    <w:p w:rsidR="00876AA8" w:rsidRDefault="00893306">
      <w:pPr>
        <w:spacing w:before="160" w:after="80"/>
      </w:pPr>
      <w:r>
        <w:rPr>
          <w:b/>
          <w:sz w:val="28"/>
        </w:rPr>
        <w:t>VI. GIÁ TRỊ LỊCH SỬ, VĂN HÓA VÀ NGHỆ THUẬT</w:t>
      </w:r>
    </w:p>
    <w:p w:rsidR="00876AA8" w:rsidRDefault="00893306">
      <w:pPr>
        <w:spacing w:after="80"/>
        <w:ind w:left="280" w:hanging="280"/>
      </w:pPr>
      <w:r>
        <w:rPr>
          <w:b/>
        </w:rPr>
        <w:t>1. Giá trị lịch sử: Đình là trung tâm sinh hoạt cộng đồng, thể hiện truyền thống thờ phụng người có công với nước và tinh thần yêu nước, giữ nước của cư dân Trung Văn.</w:t>
      </w:r>
    </w:p>
    <w:p w:rsidR="00876AA8" w:rsidRDefault="00893306">
      <w:pPr>
        <w:spacing w:after="80"/>
        <w:ind w:left="280" w:hanging="280"/>
      </w:pPr>
      <w:r>
        <w:rPr>
          <w:b/>
        </w:rPr>
        <w:t>2.</w:t>
      </w:r>
      <w:r>
        <w:rPr>
          <w:b/>
        </w:rPr>
        <w:t xml:space="preserve"> Giá trị văn hóa – tín ngưỡng: Giá trị nghệ thuật nổi bật ở các mảng chạm gỗ, cửa võng, nhang án, cuốn thư, hoành phi và câu đối, tiêu biểu cho nghệ thuật thế kỷ XIX.</w:t>
      </w:r>
    </w:p>
    <w:p w:rsidR="00876AA8" w:rsidRDefault="00893306">
      <w:pPr>
        <w:spacing w:before="160" w:after="80"/>
      </w:pPr>
      <w:r>
        <w:rPr>
          <w:b/>
          <w:sz w:val="28"/>
        </w:rPr>
        <w:t>VII. TRẠNG THÁI BẢO QUẢN VÀ PHƯƠNG ÁN BẢO VỆ, SỬ DỤNG</w:t>
      </w:r>
    </w:p>
    <w:p w:rsidR="00876AA8" w:rsidRDefault="00893306">
      <w:pPr>
        <w:spacing w:after="80"/>
        <w:ind w:left="280" w:hanging="280"/>
      </w:pPr>
      <w:r>
        <w:rPr>
          <w:b/>
        </w:rPr>
        <w:t>1. Hiện trạng bảo quản: Đất đình đã</w:t>
      </w:r>
      <w:r>
        <w:rPr>
          <w:b/>
        </w:rPr>
        <w:t xml:space="preserve"> được khoanh gọn và có tường bao; phần lớn kiến trúc đã được sửa chữa. Một số cấu kiện gỗ trong hậu cung chịu ảnh hưởng của mối mọt, ẩm và thiếu thông thoáng.</w:t>
      </w:r>
    </w:p>
    <w:p w:rsidR="00876AA8" w:rsidRDefault="00893306">
      <w:pPr>
        <w:spacing w:after="80"/>
        <w:ind w:left="280" w:hanging="280"/>
      </w:pPr>
      <w:r>
        <w:rPr>
          <w:b/>
        </w:rPr>
        <w:t>2. Công tác quản lý: Hồ sơ đề nghị tiếp tục tu bổ các điểm hư hỏng, phòng chống mối mọt, đồng thờ</w:t>
      </w:r>
      <w:r>
        <w:rPr>
          <w:b/>
        </w:rPr>
        <w:t>i nghiên cứu phương án quản lý và phát huy giá trị di tích.</w:t>
      </w:r>
    </w:p>
    <w:p w:rsidR="00876AA8" w:rsidRDefault="00893306">
      <w:pPr>
        <w:spacing w:before="160" w:after="80"/>
      </w:pPr>
      <w:r>
        <w:rPr>
          <w:b/>
          <w:sz w:val="28"/>
        </w:rPr>
        <w:t>VIII. KẾT LUẬN</w:t>
      </w:r>
    </w:p>
    <w:p w:rsidR="00876AA8" w:rsidRDefault="00893306">
      <w:pPr>
        <w:spacing w:after="80"/>
        <w:ind w:left="280" w:hanging="280"/>
      </w:pPr>
      <w:r>
        <w:rPr>
          <w:b/>
        </w:rPr>
        <w:t>1. Khái quát giá trị: Đình Trung Văn là di tích có giá trị lịch sử, văn hóa và kiến trúc – nghệ thuật, gắn với truyền thống thờ Đào Trực và đời sống cộng đồng làng Trung Văn.</w:t>
      </w:r>
    </w:p>
    <w:p w:rsidR="00876AA8" w:rsidRDefault="00893306">
      <w:pPr>
        <w:spacing w:before="160" w:after="80"/>
      </w:pPr>
      <w:r>
        <w:rPr>
          <w:b/>
          <w:sz w:val="28"/>
        </w:rPr>
        <w:t xml:space="preserve">TÀI </w:t>
      </w:r>
      <w:r>
        <w:rPr>
          <w:b/>
          <w:sz w:val="28"/>
        </w:rPr>
        <w:t>LIỆU THAM KHẢO VÀ NGUỒN TƯ LIỆU</w:t>
      </w:r>
    </w:p>
    <w:p w:rsidR="00876AA8" w:rsidRDefault="00893306">
      <w:pPr>
        <w:spacing w:after="80"/>
        <w:ind w:left="280" w:hanging="280"/>
      </w:pPr>
      <w:r>
        <w:t>Tài liệu chính: Lý lịch di tích Đình Trung Văn.pdf</w:t>
      </w:r>
    </w:p>
    <w:p w:rsidR="00876AA8" w:rsidRDefault="00893306">
      <w:pPr>
        <w:spacing w:after="80"/>
      </w:pPr>
      <w:r>
        <w:br w:type="page"/>
      </w:r>
    </w:p>
    <w:p w:rsidR="00876AA8" w:rsidRDefault="00893306">
      <w:pPr>
        <w:spacing w:after="80"/>
        <w:ind w:firstLine="280"/>
      </w:pPr>
      <w:r>
        <w:rPr>
          <w:b/>
        </w:rPr>
        <w:lastRenderedPageBreak/>
        <w:t xml:space="preserve">Thông tin tra cứu bổ sung 1: Nguồn Người Hà Nội xác nhận Đình Trung Văn còn giữ 10 đạo sắc phong, sớm nhất Minh Mạng 21 (1840); đình được xây dựng vào cuối Lê, đầu Nguyễn </w:t>
      </w:r>
      <w:r>
        <w:rPr>
          <w:b/>
        </w:rPr>
        <w:t>và nhiều mảng chạm khắc trong đại đình là tác phẩm tiêu biểu của nghệ thuật thế kỷ XIX.</w:t>
      </w:r>
    </w:p>
    <w:p w:rsidR="00876AA8" w:rsidRDefault="00893306">
      <w:pPr>
        <w:spacing w:after="80"/>
        <w:ind w:firstLine="280"/>
      </w:pPr>
      <w:r>
        <w:rPr>
          <w:b/>
        </w:rPr>
        <w:t xml:space="preserve">Thông tin tra cứu bổ sung 2: Quyết định 138/QĐ ngày 31/01/1992 là căn cứ pháp lý quan trọng đối với nhóm di tích kiến trúc – nghệ thuật được công nhận ở Hà Nội; khi sử </w:t>
      </w:r>
      <w:r>
        <w:rPr>
          <w:b/>
        </w:rPr>
        <w:t>dụng trong hồ sơ chính thức cần đối chiếu trực tiếp bản quyết định và hồ sơ xếp hạng của di tích.</w:t>
      </w:r>
    </w:p>
    <w:p w:rsidR="00876AA8" w:rsidRDefault="00893306">
      <w:pPr>
        <w:spacing w:after="80"/>
        <w:ind w:firstLine="280"/>
      </w:pPr>
      <w:r>
        <w:rPr>
          <w:b/>
        </w:rPr>
        <w:t xml:space="preserve">Thông tin tra cứu bổ sung 3: Không gian Đình Trung Văn cần được nhìn trong mối liên hệ với Chùa Trung Văn và hệ thống di tích gắn với Đào Trực, qua đó làm rõ </w:t>
      </w:r>
      <w:r>
        <w:rPr>
          <w:b/>
        </w:rPr>
        <w:t>vai trò của Trung Văn trong mạng lưới di sản làng cổ phía Nam Thăng Long.</w:t>
      </w:r>
    </w:p>
    <w:p w:rsidR="00876AA8" w:rsidRDefault="00893306">
      <w:pPr>
        <w:ind w:left="240" w:hanging="240"/>
      </w:pPr>
      <w:r>
        <w:rPr>
          <w:sz w:val="21"/>
        </w:rPr>
        <w:t>[2] Quyết định 138/QĐ ngày 31/01/1992 – https://luatvietnam.vn/van-hoa/quyet-dinh-138-qd-bo-van-hoa-thong-tin-va-the-thao-2382-d1.html</w:t>
      </w:r>
    </w:p>
    <w:p w:rsidR="00876AA8" w:rsidRDefault="00893306">
      <w:pPr>
        <w:ind w:left="240" w:hanging="240"/>
      </w:pPr>
      <w:r>
        <w:rPr>
          <w:sz w:val="21"/>
        </w:rPr>
        <w:t>[1] Đình, chùa Trung Văn – Người Hà Nội – https</w:t>
      </w:r>
      <w:r>
        <w:rPr>
          <w:sz w:val="21"/>
        </w:rPr>
        <w:t>://nguoihanoi.vn/dinh-chua-trung-van-quan-nam-tu-liem-74586.html</w:t>
      </w:r>
    </w:p>
    <w:p w:rsidR="00876AA8" w:rsidRDefault="00893306">
      <w:pPr>
        <w:spacing w:after="80"/>
      </w:pPr>
      <w:r>
        <w:rPr>
          <w:b/>
        </w:rPr>
        <w:t xml:space="preserve">Nguồn: </w:t>
      </w:r>
      <w:r>
        <w:t>Tạp chí Người Hà Nội</w:t>
      </w:r>
    </w:p>
    <w:p w:rsidR="00876AA8" w:rsidRDefault="00893306">
      <w:pPr>
        <w:spacing w:after="80"/>
        <w:rPr>
          <w:lang w:val="da-DK"/>
        </w:rPr>
      </w:pPr>
      <w:r>
        <w:rPr>
          <w:b/>
          <w:lang w:val="da-DK"/>
        </w:rPr>
        <w:t xml:space="preserve">Trang nguồn: </w:t>
      </w:r>
      <w:hyperlink r:id="rId8">
        <w:r>
          <w:rPr>
            <w:color w:val="0563C1"/>
            <w:u w:val="single"/>
            <w:lang w:val="da-DK"/>
          </w:rPr>
          <w:t>https://nguoihanoi.vn/dinh-chua-trung-van-quan-nam-tu-liem-74586</w:t>
        </w:r>
        <w:r>
          <w:rPr>
            <w:color w:val="0563C1"/>
            <w:u w:val="single"/>
            <w:lang w:val="da-DK"/>
          </w:rPr>
          <w:t>.html</w:t>
        </w:r>
      </w:hyperlink>
    </w:p>
    <w:p w:rsidR="00876AA8" w:rsidRDefault="00876AA8">
      <w:pPr>
        <w:spacing w:after="80"/>
        <w:rPr>
          <w:lang w:val="da-DK"/>
        </w:rPr>
      </w:pPr>
      <w:bookmarkStart w:id="0" w:name="_GoBack"/>
      <w:bookmarkEnd w:id="0"/>
    </w:p>
    <w:sectPr w:rsidR="00876AA8">
      <w:footerReference w:type="default" r:id="rId9"/>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3306" w:rsidRDefault="00893306">
      <w:pPr>
        <w:spacing w:line="240" w:lineRule="auto"/>
      </w:pPr>
      <w:r>
        <w:separator/>
      </w:r>
    </w:p>
  </w:endnote>
  <w:endnote w:type="continuationSeparator" w:id="0">
    <w:p w:rsidR="00893306" w:rsidRDefault="008933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6AA8" w:rsidRDefault="00893306">
    <w:pPr>
      <w:pStyle w:val="Footer"/>
      <w:jc w:val="center"/>
    </w:pPr>
    <w:r>
      <w:rPr>
        <w:sz w:val="18"/>
      </w:rPr>
      <w:t>04 – Đình Trung Văn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3306" w:rsidRDefault="00893306">
      <w:pPr>
        <w:spacing w:after="0"/>
      </w:pPr>
      <w:r>
        <w:separator/>
      </w:r>
    </w:p>
  </w:footnote>
  <w:footnote w:type="continuationSeparator" w:id="0">
    <w:p w:rsidR="00893306" w:rsidRDefault="0089330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76AA8"/>
    <w:rsid w:val="00893306"/>
    <w:rsid w:val="00896716"/>
    <w:rsid w:val="00AA1D8D"/>
    <w:rsid w:val="00B47730"/>
    <w:rsid w:val="00B51686"/>
    <w:rsid w:val="00BB5E2D"/>
    <w:rsid w:val="00C639DF"/>
    <w:rsid w:val="00C84BEA"/>
    <w:rsid w:val="00CB0664"/>
    <w:rsid w:val="00F05505"/>
    <w:rsid w:val="00FC693F"/>
    <w:rsid w:val="5CF45A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3B2AA6E-5410-43E3-89B9-90658A2FA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qFormat="1"/>
    <w:lsdException w:name="Medium List 2 Accent 3" w:uiPriority="66" w:qFormat="1"/>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qFormat="1"/>
    <w:lsdException w:name="Medium Grid 1 Accent 6" w:uiPriority="67" w:qFormat="1"/>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eastAsia="Times New Roman" w:hAnsi="Times New Roman"/>
      <w:sz w:val="26"/>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rFonts w:ascii="Times New Roman" w:eastAsia="Times New Roman" w:hAnsi="Times New Roman"/>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Times New Roman" w:eastAsia="Times New Roman" w:hAnsi="Times New Roman"/>
      <w:lang w:val="en-US" w:eastAsia="en-US"/>
    </w:rPr>
  </w:style>
  <w:style w:type="character" w:styleId="Strong">
    <w:name w:val="Strong"/>
    <w:basedOn w:val="DefaultParagraphFont"/>
    <w:uiPriority w:val="22"/>
    <w:qFormat/>
    <w:rPr>
      <w:rFonts w:ascii="Times New Roman" w:eastAsia="Times New Roman" w:hAnsi="Times New Roman"/>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rFonts w:ascii="Times New Roman" w:eastAsia="Times New Roman" w:hAnsi="Times New Roman"/>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rFonts w:ascii="Times New Roman" w:eastAsia="Times New Roman" w:hAnsi="Times New Roman"/>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rFonts w:ascii="Times New Roman" w:eastAsia="Times New Roman" w:hAnsi="Times New Roman"/>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rFonts w:ascii="Times New Roman" w:eastAsia="Times New Roman" w:hAnsi="Times New Roman"/>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rFonts w:ascii="Times New Roman" w:eastAsia="Times New Roman" w:hAnsi="Times New Roman"/>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rFonts w:ascii="Times New Roman" w:eastAsia="Times New Roman" w:hAnsi="Times New Roman"/>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rFonts w:ascii="Times New Roman" w:eastAsia="Times New Roman" w:hAnsi="Times New Roman"/>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Pr>
      <w:rFonts w:ascii="Times New Roman" w:eastAsia="Times New Roman" w:hAnsi="Times New Roman"/>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Pr>
      <w:rFonts w:ascii="Times New Roman" w:eastAsia="Times New Roman" w:hAnsi="Times New Roman"/>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Pr>
      <w:rFonts w:ascii="Times New Roman" w:eastAsia="Times New Roman" w:hAnsi="Times New Roman"/>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Pr>
      <w:rFonts w:ascii="Times New Roman" w:eastAsia="Times New Roman" w:hAnsi="Times New Roman"/>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Pr>
      <w:rFonts w:ascii="Times New Roman" w:eastAsia="Times New Roman" w:hAnsi="Times New Roman"/>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Pr>
      <w:rFonts w:ascii="Times New Roman" w:eastAsia="Times New Roman" w:hAnsi="Times New Roman"/>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rPr>
      <w:rFonts w:ascii="Times New Roman" w:eastAsia="Times New Roman" w:hAnsi="Times New Roman"/>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Pr>
      <w:rFonts w:ascii="Times New Roman" w:eastAsia="Times New Roman" w:hAnsi="Times New Roman"/>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rPr>
      <w:rFonts w:ascii="Times New Roman" w:eastAsia="Times New Roman" w:hAnsi="Times New Roman"/>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rPr>
      <w:rFonts w:ascii="Times New Roman" w:eastAsia="Times New Roman" w:hAnsi="Times New Roman"/>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rPr>
      <w:rFonts w:ascii="Times New Roman" w:eastAsia="Times New Roman" w:hAnsi="Times New Roman"/>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rPr>
      <w:rFonts w:ascii="Times New Roman" w:eastAsia="Times New Roman" w:hAnsi="Times New Roman"/>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rPr>
      <w:rFonts w:ascii="Times New Roman" w:eastAsia="Times New Roman" w:hAnsi="Times New Roman"/>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rPr>
      <w:rFonts w:ascii="Times New Roman" w:eastAsia="Times New Roman" w:hAnsi="Times New Roman"/>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rPr>
      <w:rFonts w:ascii="Times New Roman" w:eastAsia="Times New Roman" w:hAnsi="Times New Roman"/>
    </w:rPr>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rPr>
      <w:rFonts w:ascii="Times New Roman" w:eastAsia="Times New Roman" w:hAnsi="Times New Roman"/>
    </w:r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rPr>
      <w:rFonts w:ascii="Times New Roman" w:eastAsia="Times New Roman" w:hAnsi="Times New Roman"/>
    </w:r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ascii="Times New Roman" w:eastAsia="Times New Roman" w:hAnsi="Times New Roman"/>
    </w:rPr>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rPr>
      <w:rFonts w:ascii="Times New Roman" w:eastAsia="Times New Roman" w:hAnsi="Times New Roman"/>
    </w:r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rPr>
      <w:rFonts w:ascii="Times New Roman" w:eastAsia="Times New Roman" w:hAnsi="Times New Roman"/>
    </w:r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rPr>
      <w:rFonts w:ascii="Times New Roman" w:eastAsia="Times New Roman" w:hAnsi="Times New Roman"/>
    </w:r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rPr>
      <w:rFonts w:ascii="Times New Roman" w:eastAsia="Times New Roman" w:hAnsi="Times New Roman"/>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rPr>
      <w:rFonts w:ascii="Times New Roman" w:eastAsia="Times New Roman" w:hAnsi="Times New Roman"/>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ascii="Times New Roman" w:eastAsia="Times New Roman" w:hAnsi="Times New Roman"/>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ascii="Times New Roman" w:eastAsia="Times New Roman" w:hAnsi="Times New Roman"/>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ascii="Times New Roman" w:eastAsia="Times New Roman" w:hAnsi="Times New Roman"/>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ascii="Times New Roman" w:eastAsia="Times New Roman" w:hAnsi="Times New Roman"/>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ascii="Times New Roman" w:eastAsia="Times New Roman" w:hAnsi="Times New Roman"/>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rFonts w:ascii="Times New Roman" w:eastAsia="Times New Roman" w:hAnsi="Times New Roman"/>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rFonts w:ascii="Times New Roman" w:eastAsia="Times New Roman" w:hAnsi="Times New Roman"/>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rFonts w:ascii="Times New Roman" w:eastAsia="Times New Roman" w:hAnsi="Times New Roman"/>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rFonts w:ascii="Times New Roman" w:eastAsia="Times New Roman" w:hAnsi="Times New Roman"/>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rFonts w:ascii="Times New Roman" w:eastAsia="Times New Roman" w:hAnsi="Times New Roman"/>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rFonts w:ascii="Times New Roman" w:eastAsia="Times New Roman" w:hAnsi="Times New Roman"/>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rFonts w:ascii="Times New Roman" w:eastAsia="Times New Roman" w:hAnsi="Times New Roman"/>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rPr>
      <w:rFonts w:ascii="Times New Roman" w:eastAsia="Times New Roman" w:hAnsi="Times New Roman"/>
    </w:rPr>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rPr>
      <w:rFonts w:ascii="Times New Roman" w:eastAsia="Times New Roman" w:hAnsi="Times New Roman"/>
    </w:r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rPr>
      <w:rFonts w:ascii="Times New Roman" w:eastAsia="Times New Roman" w:hAnsi="Times New Roman"/>
    </w:r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Pr>
      <w:rFonts w:ascii="Times New Roman" w:eastAsia="Times New Roman" w:hAnsi="Times New Roman"/>
    </w:rPr>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rPr>
      <w:rFonts w:ascii="Times New Roman" w:eastAsia="Times New Roman" w:hAnsi="Times New Roman"/>
    </w:r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rPr>
      <w:rFonts w:ascii="Times New Roman" w:eastAsia="Times New Roman" w:hAnsi="Times New Roman"/>
    </w:r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rPr>
      <w:rFonts w:ascii="Times New Roman" w:eastAsia="Times New Roman" w:hAnsi="Times New Roman"/>
    </w:r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rPr>
      <w:rFonts w:ascii="Times New Roman" w:eastAsia="Times New Roman" w:hAnsi="Times New Roman"/>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rPr>
      <w:rFonts w:ascii="Times New Roman" w:eastAsia="Times New Roman" w:hAnsi="Times New Roman"/>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rPr>
      <w:rFonts w:ascii="Times New Roman" w:eastAsia="Times New Roman" w:hAnsi="Times New Roman"/>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rPr>
      <w:rFonts w:ascii="Times New Roman" w:eastAsia="Times New Roman" w:hAnsi="Times New Roman"/>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rPr>
      <w:rFonts w:ascii="Times New Roman" w:eastAsia="Times New Roman" w:hAnsi="Times New Roman"/>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rPr>
      <w:rFonts w:ascii="Times New Roman" w:eastAsia="Times New Roman" w:hAnsi="Times New Roman"/>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rPr>
      <w:rFonts w:ascii="Times New Roman" w:eastAsia="Times New Roman" w:hAnsi="Times New Roman"/>
    </w:r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rFonts w:ascii="Times New Roman" w:eastAsia="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rFonts w:ascii="Times New Roman" w:eastAsia="Times New Roman" w:hAnsi="Times New Roman"/>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rFonts w:ascii="Times New Roman" w:eastAsia="Times New Roman" w:hAnsi="Times New Roman"/>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rFonts w:ascii="Times New Roman" w:eastAsia="Times New Roman" w:hAnsi="Times New Roman"/>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rFonts w:ascii="Times New Roman" w:eastAsia="Times New Roman" w:hAnsi="Times New Roman"/>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rFonts w:ascii="Times New Roman" w:eastAsia="Times New Roman" w:hAnsi="Times New Roman"/>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rFonts w:ascii="Times New Roman" w:eastAsia="Times New Roman" w:hAnsi="Times New Roman"/>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rFonts w:ascii="Times New Roman" w:eastAsia="Times New Roman" w:hAnsi="Times New Roman"/>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rFonts w:ascii="Times New Roman" w:eastAsia="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rFonts w:ascii="Times New Roman" w:eastAsia="Times New Roman" w:hAnsi="Times New Roman"/>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rFonts w:ascii="Times New Roman" w:eastAsia="Times New Roman" w:hAnsi="Times New Roman"/>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rFonts w:ascii="Times New Roman" w:eastAsia="Times New Roman" w:hAnsi="Times New Roman"/>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rFonts w:ascii="Times New Roman" w:eastAsia="Times New Roman" w:hAnsi="Times New Roman"/>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rFonts w:ascii="Times New Roman" w:eastAsia="Times New Roman" w:hAnsi="Times New Roman"/>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rFonts w:ascii="Times New Roman" w:eastAsia="Times New Roman" w:hAnsi="Times New Roman"/>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rFonts w:ascii="Times New Roman" w:eastAsia="Times New Roman" w:hAnsi="Times New Roman"/>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rPr>
      <w:rFonts w:ascii="Times New Roman" w:eastAsia="Times New Roman" w:hAnsi="Times New Roman"/>
    </w:rPr>
  </w:style>
  <w:style w:type="character" w:customStyle="1" w:styleId="FooterChar">
    <w:name w:val="Footer Char"/>
    <w:basedOn w:val="DefaultParagraphFont"/>
    <w:link w:val="Footer"/>
    <w:uiPriority w:val="99"/>
    <w:qFormat/>
    <w:rPr>
      <w:rFonts w:ascii="Times New Roman" w:eastAsia="Times New Roman" w:hAnsi="Times New Roman"/>
    </w:rPr>
  </w:style>
  <w:style w:type="paragraph" w:styleId="NoSpacing">
    <w:name w:val="No Spacing"/>
    <w:uiPriority w:val="1"/>
    <w:qFormat/>
    <w:rPr>
      <w:rFonts w:ascii="Times New Roman" w:eastAsia="Times New Roman" w:hAnsi="Times New Roman"/>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rPr>
      <w:rFonts w:ascii="Times New Roman" w:eastAsia="Times New Roman" w:hAnsi="Times New Roman"/>
    </w:rPr>
  </w:style>
  <w:style w:type="character" w:customStyle="1" w:styleId="BodyText2Char">
    <w:name w:val="Body Text 2 Char"/>
    <w:basedOn w:val="DefaultParagraphFont"/>
    <w:link w:val="BodyText2"/>
    <w:uiPriority w:val="99"/>
    <w:qFormat/>
    <w:rPr>
      <w:rFonts w:ascii="Times New Roman" w:eastAsia="Times New Roman" w:hAnsi="Times New Roman"/>
    </w:rPr>
  </w:style>
  <w:style w:type="character" w:customStyle="1" w:styleId="BodyText3Char">
    <w:name w:val="Body Text 3 Char"/>
    <w:basedOn w:val="DefaultParagraphFont"/>
    <w:link w:val="BodyText3"/>
    <w:uiPriority w:val="99"/>
    <w:qFormat/>
    <w:rPr>
      <w:rFonts w:ascii="Times New Roman" w:eastAsia="Times New Roman" w:hAnsi="Times New Roman"/>
      <w:sz w:val="16"/>
      <w:szCs w:val="16"/>
    </w:rPr>
  </w:style>
  <w:style w:type="character" w:customStyle="1" w:styleId="MacroTextChar">
    <w:name w:val="Macro Text Char"/>
    <w:basedOn w:val="DefaultParagraphFont"/>
    <w:link w:val="MacroText"/>
    <w:uiPriority w:val="99"/>
    <w:rPr>
      <w:rFonts w:ascii="Times New Roman" w:eastAsia="Times New Roman" w:hAnsi="Times New Roman"/>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rFonts w:ascii="Times New Roman" w:eastAsia="Times New Roman" w:hAnsi="Times New Roman"/>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rFonts w:ascii="Times New Roman" w:eastAsia="Times New Roman" w:hAnsi="Times New Roman"/>
      <w:b/>
      <w:bCs/>
      <w:i/>
      <w:iCs/>
      <w:color w:val="4F81BD" w:themeColor="accent1"/>
    </w:rPr>
  </w:style>
  <w:style w:type="character" w:customStyle="1" w:styleId="SubtleEmphasis1">
    <w:name w:val="Subtle Emphasis1"/>
    <w:basedOn w:val="DefaultParagraphFont"/>
    <w:uiPriority w:val="19"/>
    <w:qFormat/>
    <w:rPr>
      <w:rFonts w:ascii="Times New Roman" w:eastAsia="Times New Roman" w:hAnsi="Times New Roman"/>
      <w:i/>
      <w:iCs/>
      <w:color w:val="7F7F7F" w:themeColor="text1" w:themeTint="80"/>
    </w:rPr>
  </w:style>
  <w:style w:type="character" w:customStyle="1" w:styleId="IntenseEmphasis1">
    <w:name w:val="Intense Emphasis1"/>
    <w:basedOn w:val="DefaultParagraphFont"/>
    <w:uiPriority w:val="21"/>
    <w:qFormat/>
    <w:rPr>
      <w:rFonts w:ascii="Times New Roman" w:eastAsia="Times New Roman" w:hAnsi="Times New Roman"/>
      <w:b/>
      <w:bCs/>
      <w:i/>
      <w:iCs/>
      <w:color w:val="4F81BD" w:themeColor="accent1"/>
    </w:rPr>
  </w:style>
  <w:style w:type="character" w:customStyle="1" w:styleId="SubtleReference1">
    <w:name w:val="Subtle Reference1"/>
    <w:basedOn w:val="DefaultParagraphFont"/>
    <w:uiPriority w:val="31"/>
    <w:qFormat/>
    <w:rPr>
      <w:rFonts w:ascii="Times New Roman" w:eastAsia="Times New Roman" w:hAnsi="Times New Roman"/>
      <w:smallCaps/>
      <w:color w:val="C0504D" w:themeColor="accent2"/>
      <w:u w:val="single"/>
    </w:rPr>
  </w:style>
  <w:style w:type="character" w:customStyle="1" w:styleId="IntenseReference1">
    <w:name w:val="Intense Reference1"/>
    <w:basedOn w:val="DefaultParagraphFont"/>
    <w:uiPriority w:val="32"/>
    <w:qFormat/>
    <w:rPr>
      <w:rFonts w:ascii="Times New Roman" w:eastAsia="Times New Roman" w:hAnsi="Times New Roman"/>
      <w:b/>
      <w:bCs/>
      <w:smallCaps/>
      <w:color w:val="C0504D" w:themeColor="accent2"/>
      <w:spacing w:val="5"/>
      <w:u w:val="single"/>
    </w:rPr>
  </w:style>
  <w:style w:type="character" w:customStyle="1" w:styleId="BookTitle1">
    <w:name w:val="Book Title1"/>
    <w:basedOn w:val="DefaultParagraphFont"/>
    <w:uiPriority w:val="33"/>
    <w:qFormat/>
    <w:rPr>
      <w:rFonts w:ascii="Times New Roman" w:eastAsia="Times New Roman" w:hAnsi="Times New Roman"/>
      <w:b/>
      <w:bCs/>
      <w:smallCaps/>
      <w:spacing w:val="5"/>
    </w:rPr>
  </w:style>
  <w:style w:type="paragraph" w:customStyle="1" w:styleId="TOCHeading1">
    <w:name w:val="TOC Heading1"/>
    <w:basedOn w:val="Heading1"/>
    <w:next w:val="Normal"/>
    <w:uiPriority w:val="39"/>
    <w:semiHidden/>
    <w:unhideWhenUsed/>
    <w:qFormat/>
    <w:pPr>
      <w:outlineLvl w:val="9"/>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nguoihanoi.vn/dinh-chua-trung-van-quan-nam-tu-liem-74586.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3D648C-3CE5-49CA-ACBD-39D48FE91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765</Words>
  <Characters>4362</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Microsoft account</cp:lastModifiedBy>
  <cp:revision>3</cp:revision>
  <dcterms:created xsi:type="dcterms:W3CDTF">2013-12-23T23:15:00Z</dcterms:created>
  <dcterms:modified xsi:type="dcterms:W3CDTF">2026-09-13T15:19:00Z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eyJoZGlkIjoiZGQ1Y2M0MzM3MDFiYjQyNmMzMDIzYWUyODkwYzk0YjgiLCJ1c2VySWQiOiIxMzc0Mzk5NjI0NzE3In0=</vt:lpwstr>
  </property>
  <property fmtid="{D5CDD505-2E9C-101B-9397-08002B2CF9AE}" pid="3" name="KSOProductBuildVer">
    <vt:lpwstr>1033-12.1.0.28485</vt:lpwstr>
  </property>
  <property fmtid="{D5CDD505-2E9C-101B-9397-08002B2CF9AE}" pid="4" name="ICV">
    <vt:lpwstr>A3CA0ADE564E497FACFBCFD52ED18116_13</vt:lpwstr>
  </property>
</Properties>
</file>