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Supported device families</w:t>
            </w:r>
          </w:p>
        </w:tc>
        <w:tc>
          <w:tcPr>
            <w:tcW w:w="1951" w:type="dxa"/>
            <w:vAlign w:val="center"/>
          </w:tcPr>
          <w:p w:rsidR="00006CB0" w:rsidRDefault="00E637F1" w:rsidP="00ED309D">
            <w:pPr>
              <w:jc w:val="right"/>
              <w:rPr>
                <w:sz w:val="22"/>
              </w:rPr>
            </w:pPr>
            <w:r>
              <w:t>Zynq</w:t>
            </w:r>
            <w:r w:rsidR="0020045F">
              <w:t>®</w:t>
            </w:r>
            <w:r>
              <w:t>-7000, 7 series</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Supported user interfaces</w:t>
            </w:r>
          </w:p>
        </w:tc>
        <w:tc>
          <w:tcPr>
            <w:tcW w:w="1951" w:type="dxa"/>
            <w:vAlign w:val="center"/>
          </w:tcPr>
          <w:p w:rsidR="00006CB0" w:rsidRDefault="00E637F1" w:rsidP="00ED309D">
            <w:pPr>
              <w:jc w:val="right"/>
              <w:rPr>
                <w:sz w:val="22"/>
              </w:rPr>
            </w:pPr>
            <w:r>
              <w:t>Xilinx</w:t>
            </w:r>
            <w:r w:rsidR="0020045F">
              <w:t>®</w:t>
            </w:r>
            <w:r>
              <w:t>: IIC</w:t>
            </w:r>
            <w:r w:rsidR="00E603D9">
              <w:t xml:space="preserve">, </w:t>
            </w:r>
            <w:proofErr w:type="spellStart"/>
            <w:r w:rsidR="00E603D9">
              <w:t>vid_io</w:t>
            </w:r>
            <w:proofErr w:type="spellEnd"/>
            <w:r>
              <w:br/>
              <w:t>Digilent: TMDS</w:t>
            </w:r>
          </w:p>
        </w:tc>
      </w:tr>
      <w:tr w:rsidR="00DF14F3"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Provided with core</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Design files</w:t>
            </w:r>
          </w:p>
        </w:tc>
        <w:tc>
          <w:tcPr>
            <w:tcW w:w="1951" w:type="dxa"/>
            <w:vAlign w:val="center"/>
          </w:tcPr>
          <w:p w:rsidR="00006CB0" w:rsidRDefault="00E637F1" w:rsidP="00ED309D">
            <w:pPr>
              <w:jc w:val="right"/>
              <w:rPr>
                <w:sz w:val="22"/>
              </w:rPr>
            </w:pPr>
            <w:r>
              <w:t>VHDL</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Simulation model</w:t>
            </w:r>
          </w:p>
        </w:tc>
        <w:tc>
          <w:tcPr>
            <w:tcW w:w="1951" w:type="dxa"/>
            <w:vAlign w:val="center"/>
          </w:tcPr>
          <w:p w:rsidR="00006CB0" w:rsidRDefault="00E637F1" w:rsidP="00ED309D">
            <w:pPr>
              <w:jc w:val="right"/>
              <w:rPr>
                <w:sz w:val="22"/>
              </w:rPr>
            </w:pPr>
            <w:r>
              <w:t>VHDL Behavioral</w:t>
            </w:r>
          </w:p>
        </w:tc>
      </w:tr>
      <w:tr w:rsidR="006C3F68"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ED309D">
            <w:r>
              <w:t>Constraints file</w:t>
            </w:r>
          </w:p>
        </w:tc>
        <w:tc>
          <w:tcPr>
            <w:tcW w:w="1951" w:type="dxa"/>
            <w:vAlign w:val="center"/>
          </w:tcPr>
          <w:p w:rsidR="006C3F68" w:rsidRDefault="006C3F68" w:rsidP="00ED309D">
            <w:pPr>
              <w:jc w:val="right"/>
            </w:pPr>
            <w:r>
              <w:t>XDC</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Software driver</w:t>
            </w:r>
          </w:p>
        </w:tc>
        <w:tc>
          <w:tcPr>
            <w:tcW w:w="1951" w:type="dxa"/>
            <w:vAlign w:val="center"/>
          </w:tcPr>
          <w:p w:rsidR="00006CB0" w:rsidRDefault="00E637F1" w:rsidP="00ED309D">
            <w:pPr>
              <w:jc w:val="right"/>
              <w:rPr>
                <w:sz w:val="22"/>
              </w:rPr>
            </w:pPr>
            <w:r>
              <w:t>N/A</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Tested design flows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ED309D">
            <w:r>
              <w:t>Design entry</w:t>
            </w:r>
          </w:p>
        </w:tc>
        <w:tc>
          <w:tcPr>
            <w:tcW w:w="1951" w:type="dxa"/>
            <w:vAlign w:val="center"/>
          </w:tcPr>
          <w:p w:rsidR="00006CB0" w:rsidRDefault="00DF14F3" w:rsidP="00ED309D">
            <w:pPr>
              <w:jc w:val="right"/>
              <w:rPr>
                <w:sz w:val="22"/>
              </w:rPr>
            </w:pPr>
            <w:proofErr w:type="spellStart"/>
            <w:r>
              <w:t>Vivado</w:t>
            </w:r>
            <w:proofErr w:type="spellEnd"/>
            <w:r w:rsidR="0020045F">
              <w:t>™</w:t>
            </w:r>
            <w:r>
              <w:t xml:space="preserve"> Design Suite 201</w:t>
            </w:r>
            <w:r w:rsidR="00A90C7B">
              <w:t>6</w:t>
            </w:r>
            <w:r>
              <w:t>.</w:t>
            </w:r>
            <w:r w:rsidR="00D71614">
              <w:t>4</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ED309D">
            <w:r>
              <w:t>Synthesis</w:t>
            </w:r>
          </w:p>
        </w:tc>
        <w:tc>
          <w:tcPr>
            <w:tcW w:w="1951" w:type="dxa"/>
            <w:vAlign w:val="center"/>
          </w:tcPr>
          <w:p w:rsidR="00006CB0" w:rsidRDefault="00DF14F3" w:rsidP="00ED309D">
            <w:pPr>
              <w:jc w:val="right"/>
              <w:rPr>
                <w:sz w:val="22"/>
              </w:rPr>
            </w:pPr>
            <w:proofErr w:type="spellStart"/>
            <w:r>
              <w:t>Vivado</w:t>
            </w:r>
            <w:proofErr w:type="spellEnd"/>
            <w:r>
              <w:t xml:space="preserve"> Synthesis 201</w:t>
            </w:r>
            <w:r w:rsidR="00A90C7B">
              <w:t>6</w:t>
            </w:r>
            <w:r>
              <w:t>.</w:t>
            </w:r>
            <w:r w:rsidR="00D71614">
              <w:t>4</w:t>
            </w:r>
          </w:p>
        </w:tc>
      </w:tr>
    </w:tbl>
    <w:p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24-bit video (clocked parallel video data with synchronization signals) output</w:t>
      </w:r>
    </w:p>
    <w:p w:rsidR="00450CE6" w:rsidRDefault="00450CE6" w:rsidP="00450CE6">
      <w:pPr>
        <w:pStyle w:val="ListParagraph"/>
        <w:numPr>
          <w:ilvl w:val="0"/>
          <w:numId w:val="16"/>
        </w:numPr>
        <w:spacing w:after="0" w:line="240" w:lineRule="auto"/>
      </w:pPr>
      <w:r>
        <w:t>Display Data Channel interface with built-in EDID ROM</w:t>
      </w:r>
    </w:p>
    <w:p w:rsidR="00450CE6" w:rsidRDefault="00450CE6" w:rsidP="00450CE6">
      <w:pPr>
        <w:pStyle w:val="ListParagraph"/>
        <w:numPr>
          <w:ilvl w:val="0"/>
          <w:numId w:val="16"/>
        </w:numPr>
        <w:spacing w:after="0" w:line="240" w:lineRule="auto"/>
      </w:pPr>
      <w:r>
        <w:t>Resolutions supported: 1920x1080/60Hz down to 800x600/60Hz (148.5 MHz – 40 MHz)</w:t>
      </w:r>
    </w:p>
    <w:p w:rsidR="00CF2565" w:rsidRDefault="00CF2565" w:rsidP="00450CE6">
      <w:pPr>
        <w:pStyle w:val="ListParagraph"/>
        <w:numPr>
          <w:ilvl w:val="0"/>
          <w:numId w:val="16"/>
        </w:numPr>
        <w:spacing w:after="0" w:line="240" w:lineRule="auto"/>
      </w:pPr>
      <w:r>
        <w:t>Selectable preferred resolution in EDID</w:t>
      </w:r>
    </w:p>
    <w:p w:rsidR="00E90FF0" w:rsidRDefault="00E90FF0" w:rsidP="00450CE6">
      <w:pPr>
        <w:pStyle w:val="ListParagraph"/>
        <w:numPr>
          <w:ilvl w:val="0"/>
          <w:numId w:val="16"/>
        </w:numPr>
        <w:spacing w:after="0" w:line="240" w:lineRule="auto"/>
      </w:pPr>
      <w:r>
        <w:t xml:space="preserve">Xilinx interfaces used: </w:t>
      </w:r>
      <w:r w:rsidR="00150A8E">
        <w:t>IIC</w:t>
      </w:r>
      <w:r w:rsidR="00E603D9">
        <w:t xml:space="preserve">, </w:t>
      </w:r>
      <w:proofErr w:type="spellStart"/>
      <w:r w:rsidR="00E603D9">
        <w:t>vid_io</w:t>
      </w:r>
      <w:proofErr w:type="spellEnd"/>
    </w:p>
    <w:p w:rsidR="00E90FF0" w:rsidRDefault="00E90FF0" w:rsidP="00450CE6">
      <w:pPr>
        <w:pStyle w:val="ListParagraph"/>
        <w:numPr>
          <w:ilvl w:val="0"/>
          <w:numId w:val="16"/>
        </w:numPr>
        <w:spacing w:after="0" w:line="240" w:lineRule="auto"/>
      </w:pPr>
      <w:r>
        <w:t xml:space="preserve">Digilent interfaces used: </w:t>
      </w:r>
      <w:r w:rsidR="006E1B5A">
        <w:t>TMDS</w:t>
      </w:r>
    </w:p>
    <w:p w:rsidR="00006CB0" w:rsidRDefault="00A93BFE">
      <w:pPr>
        <w:pStyle w:val="Heading1"/>
      </w:pPr>
      <w:r>
        <w:tab/>
      </w:r>
      <w:r w:rsidR="004F1CE4">
        <w:t>Performance</w:t>
      </w:r>
    </w:p>
    <w:p w:rsidR="00006CB0" w:rsidRDefault="004F1CE4">
      <w:r>
        <w:t xml:space="preserve">The IP constrains </w:t>
      </w:r>
      <w:proofErr w:type="spellStart"/>
      <w:r>
        <w:t>TMDS_Clk</w:t>
      </w:r>
      <w:proofErr w:type="spellEnd"/>
      <w:r>
        <w:t xml:space="preserve">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w:t>
      </w:r>
      <w:proofErr w:type="spellStart"/>
      <w:r w:rsidR="004702F3">
        <w:t>TMDS_Clk</w:t>
      </w:r>
      <w:proofErr w:type="spellEnd"/>
      <w:r w:rsidR="004702F3">
        <w:t xml:space="preserve">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w:t>
      </w:r>
      <w:proofErr w:type="spellStart"/>
      <w:r w:rsidR="00363E7E">
        <w:t>TMDS_Clk</w:t>
      </w:r>
      <w:proofErr w:type="spellEnd"/>
      <w:r w:rsidR="00363E7E">
        <w:t xml:space="preserve">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rsidR="00450CE6" w:rsidRDefault="0045104B" w:rsidP="00450CE6">
      <w:pPr>
        <w:pStyle w:val="Heading1"/>
      </w:pPr>
      <w:r>
        <w:lastRenderedPageBreak/>
        <w:tab/>
      </w:r>
      <w:r w:rsidR="00450CE6">
        <w:t>Overview</w:t>
      </w:r>
    </w:p>
    <w:p w:rsidR="00450CE6" w:rsidRDefault="008A4320" w:rsidP="00450CE6">
      <w:pPr>
        <w:keepNext/>
      </w:pPr>
      <w:r>
        <w:object w:dxaOrig="11595" w:dyaOrig="9870" w14:anchorId="255A6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84.75pt" o:ole="">
            <v:imagedata r:id="rId8" o:title=""/>
          </v:shape>
          <o:OLEObject Type="Embed" ProgID="Visio.Drawing.11" ShapeID="_x0000_i1025" DrawAspect="Content" ObjectID="_1566307093" r:id="rId9"/>
        </w:object>
      </w:r>
    </w:p>
    <w:p w:rsidR="00450CE6" w:rsidRDefault="00450CE6" w:rsidP="00450CE6">
      <w:pPr>
        <w:pStyle w:val="Caption"/>
      </w:pPr>
      <w:r>
        <w:t xml:space="preserve">Figure </w:t>
      </w:r>
      <w:fldSimple w:instr=" SEQ Figure \* ARABIC ">
        <w:r w:rsidR="00D756A3">
          <w:rPr>
            <w:noProof/>
          </w:rPr>
          <w:t>1</w:t>
        </w:r>
      </w:fldSimple>
      <w:r w:rsidR="005A1047">
        <w:t>.</w:t>
      </w:r>
      <w:r>
        <w:t xml:space="preserve"> </w:t>
      </w:r>
      <w:r w:rsidRPr="00450CE6">
        <w:t>DVI to VGA converter block diagram</w:t>
      </w:r>
      <w:r w:rsidR="005A1047">
        <w:t>.</w:t>
      </w:r>
    </w:p>
    <w:p w:rsidR="00450CE6" w:rsidRDefault="00450CE6" w:rsidP="00450CE6">
      <w:r>
        <w:t>The IP is built from multiple blocks: one clock recovery block, one data decoder block for each data channel (see [3], [4]), one optional DDC (Display Data Channel) block and one control/reset block.</w:t>
      </w:r>
    </w:p>
    <w:p w:rsidR="00450CE6" w:rsidRDefault="0045104B" w:rsidP="00450CE6">
      <w:pPr>
        <w:pStyle w:val="Heading2"/>
      </w:pPr>
      <w:r>
        <w:tab/>
      </w:r>
      <w:r w:rsidR="00450CE6">
        <w:t>Clock recovery</w:t>
      </w:r>
    </w:p>
    <w:p w:rsidR="00450CE6" w:rsidRDefault="00450CE6" w:rsidP="00450CE6">
      <w:r>
        <w:t xml:space="preserve">The clock channel carries a character-rate frequency reference. One character (or 10 bits) are transmitted every period on each data channel. </w:t>
      </w:r>
      <w:r w:rsidR="00C825CA">
        <w:t xml:space="preserve">Dedicated </w:t>
      </w:r>
      <w:proofErr w:type="spellStart"/>
      <w:r w:rsidR="00C825CA">
        <w:t>deserializer</w:t>
      </w:r>
      <w:proofErr w:type="spellEnd"/>
      <w:r w:rsidR="00C825CA">
        <w:t xml:space="preserve">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D756A3">
        <w:t xml:space="preserve">Figure </w:t>
      </w:r>
      <w:r w:rsidR="00D756A3">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rsidR="00450CE6" w:rsidRDefault="00532959" w:rsidP="00450CE6">
      <w:pPr>
        <w:keepNext/>
        <w:jc w:val="center"/>
      </w:pPr>
      <w:r>
        <w:object w:dxaOrig="7665" w:dyaOrig="2670" w14:anchorId="4270DD6F">
          <v:shape id="_x0000_i1026" type="#_x0000_t75" style="width:384pt;height:132.75pt" o:ole="">
            <v:imagedata r:id="rId10" o:title=""/>
          </v:shape>
          <o:OLEObject Type="Embed" ProgID="Visio.Drawing.15" ShapeID="_x0000_i1026" DrawAspect="Content" ObjectID="_1566307094" r:id="rId11"/>
        </w:object>
      </w:r>
    </w:p>
    <w:p w:rsidR="00450CE6" w:rsidRDefault="00450CE6" w:rsidP="00450CE6">
      <w:pPr>
        <w:pStyle w:val="Caption"/>
      </w:pPr>
      <w:bookmarkStart w:id="0" w:name="_Ref402199395"/>
      <w:r>
        <w:t xml:space="preserve">Figure </w:t>
      </w:r>
      <w:fldSimple w:instr=" SEQ Figure \* ARABIC ">
        <w:r w:rsidR="00D756A3">
          <w:rPr>
            <w:noProof/>
          </w:rPr>
          <w:t>2</w:t>
        </w:r>
      </w:fldSimple>
      <w:bookmarkEnd w:id="0"/>
      <w:r w:rsidR="005A1047">
        <w:t>.</w:t>
      </w:r>
      <w:r>
        <w:t xml:space="preserve"> Clock network overview</w:t>
      </w:r>
      <w:r w:rsidR="005A1047">
        <w:t>.</w:t>
      </w:r>
    </w:p>
    <w:p w:rsidR="00450CE6" w:rsidRDefault="0045104B" w:rsidP="00450CE6">
      <w:pPr>
        <w:pStyle w:val="Heading2"/>
      </w:pPr>
      <w:r>
        <w:tab/>
      </w:r>
      <w:r w:rsidR="00450CE6">
        <w:t>Data Decoder</w:t>
      </w:r>
    </w:p>
    <w:p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rsidR="00450CE6" w:rsidRDefault="0045104B" w:rsidP="00450CE6">
      <w:pPr>
        <w:pStyle w:val="Heading3"/>
      </w:pPr>
      <w:r>
        <w:tab/>
      </w:r>
      <w:r w:rsidR="00450CE6">
        <w:t>Synchronization</w:t>
      </w:r>
    </w:p>
    <w:p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w:t>
      </w:r>
      <w:proofErr w:type="spellStart"/>
      <w:r>
        <w:t>bitslip</w:t>
      </w:r>
      <w:proofErr w:type="spellEnd"/>
      <w:r>
        <w:t>” feature of the ISERDESE2 primitive. If all the tap increments have been tried and control tokens are still not detected, it is assumed that we are not at the right character boundary. In this case, invoking “</w:t>
      </w:r>
      <w:proofErr w:type="spellStart"/>
      <w:r>
        <w:t>bitslip</w:t>
      </w:r>
      <w:proofErr w:type="spellEnd"/>
      <w:r>
        <w:t>” causes either a shift right by one while bit or a shift left by three in the 10-bit word. After “</w:t>
      </w:r>
      <w:proofErr w:type="spellStart"/>
      <w:r>
        <w:t>bitslip</w:t>
      </w:r>
      <w:proofErr w:type="spellEnd"/>
      <w:r>
        <w:t>” completes</w:t>
      </w:r>
      <w:r w:rsidR="005A1047">
        <w:t>,</w:t>
      </w:r>
      <w:r>
        <w:t xml:space="preserve"> phase alignment begins again, looping through the tap increments until tokens are found.</w:t>
      </w:r>
    </w:p>
    <w:p w:rsidR="00450CE6" w:rsidRDefault="00450CE6" w:rsidP="00450CE6">
      <w:r>
        <w:t>Phase alignment is considered completed when a succession of control tokens are reliably detected on all data channels. At this moment all three data channel are considered valid.</w:t>
      </w:r>
    </w:p>
    <w:p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rsidR="00450CE6" w:rsidRDefault="0045104B" w:rsidP="00450CE6">
      <w:pPr>
        <w:pStyle w:val="Heading3"/>
      </w:pPr>
      <w:r>
        <w:tab/>
      </w:r>
      <w:r w:rsidR="00450CE6">
        <w:t>Decoding</w:t>
      </w:r>
    </w:p>
    <w:p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rsidR="00450CE6" w:rsidRDefault="0045104B" w:rsidP="00450CE6">
      <w:pPr>
        <w:pStyle w:val="Heading2"/>
      </w:pPr>
      <w:r>
        <w:tab/>
      </w:r>
      <w:r w:rsidR="00450CE6">
        <w:t>EDID ROM (Display Data Channel)</w:t>
      </w:r>
    </w:p>
    <w:p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proofErr w:type="spellStart"/>
      <w:r w:rsidR="00F65C0D">
        <w:t>src</w:t>
      </w:r>
      <w:proofErr w:type="spellEnd"/>
      <w:r w:rsidR="00F65C0D">
        <w:t>/*</w:t>
      </w:r>
      <w:r w:rsidR="00CF2565">
        <w:t>.data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D756A3">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rsidR="00450CE6" w:rsidRDefault="0045104B" w:rsidP="00450CE6">
      <w:pPr>
        <w:pStyle w:val="Heading1"/>
      </w:pPr>
      <w:r>
        <w:lastRenderedPageBreak/>
        <w:tab/>
      </w:r>
      <w:r w:rsidR="00450CE6">
        <w:t>Port Descriptions</w:t>
      </w:r>
    </w:p>
    <w:p w:rsidR="004E1138" w:rsidRDefault="00E571C5" w:rsidP="004E1138">
      <w:pPr>
        <w:keepNext/>
        <w:jc w:val="center"/>
      </w:pPr>
      <w:r>
        <w:object w:dxaOrig="9675" w:dyaOrig="4500" w14:anchorId="3E8F92B0">
          <v:shape id="_x0000_i1027" type="#_x0000_t75" style="width:392.25pt;height:181.5pt" o:ole="">
            <v:imagedata r:id="rId12" o:title=""/>
          </v:shape>
          <o:OLEObject Type="Embed" ProgID="Visio.Drawing.11" ShapeID="_x0000_i1027" DrawAspect="Content" ObjectID="_1566307095" r:id="rId13"/>
        </w:object>
      </w:r>
    </w:p>
    <w:p w:rsidR="00450CE6" w:rsidRDefault="004E1138" w:rsidP="004E1138">
      <w:pPr>
        <w:pStyle w:val="Caption"/>
      </w:pPr>
      <w:r>
        <w:t xml:space="preserve">Figure </w:t>
      </w:r>
      <w:fldSimple w:instr=" SEQ Figure \* ARABIC ">
        <w:r w:rsidR="00D756A3">
          <w:rPr>
            <w:noProof/>
          </w:rPr>
          <w:t>3</w:t>
        </w:r>
      </w:fldSimple>
      <w:r w:rsidR="00351E0F">
        <w:t>.</w:t>
      </w:r>
      <w:r>
        <w:t xml:space="preserve"> IP top-level diagram</w:t>
      </w:r>
      <w:r w:rsidR="00351E0F">
        <w:t>.</w:t>
      </w:r>
    </w:p>
    <w:p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D756A3">
        <w:t xml:space="preserve">Table </w:t>
      </w:r>
      <w:r w:rsidR="00D756A3">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rsidR="00450CE6" w:rsidRPr="00F15832" w:rsidRDefault="00450CE6" w:rsidP="00F51D42">
            <w:pPr>
              <w:jc w:val="center"/>
              <w:rPr>
                <w:b w:val="0"/>
              </w:rPr>
            </w:pPr>
            <w:r w:rsidRPr="00F15832">
              <w:rPr>
                <w:b w:val="0"/>
              </w:rPr>
              <w:t>Signal 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RefClk</w:t>
            </w:r>
            <w:proofErr w:type="spellEnd"/>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200 MHz reference clock</w:t>
            </w:r>
            <w:r w:rsidR="00F120A7">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aRst</w:t>
            </w:r>
            <w:proofErr w:type="spellEnd"/>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sidP="00F51D42">
            <w:r>
              <w:t>A</w:t>
            </w:r>
            <w:r w:rsidR="00450CE6">
              <w:t>synchronous reset</w:t>
            </w:r>
            <w:r>
              <w:t xml:space="preserve"> of configurable polarity</w:t>
            </w:r>
            <w:r w:rsidR="00450CE6">
              <w:t xml:space="preserve">. Assert, if </w:t>
            </w:r>
            <w:proofErr w:type="spellStart"/>
            <w:r w:rsidR="00450CE6">
              <w:t>RefClk</w:t>
            </w:r>
            <w:proofErr w:type="spellEnd"/>
            <w:r w:rsidR="00450CE6">
              <w:t xml:space="preserve"> is not within spec.</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pRst</w:t>
            </w:r>
            <w:proofErr w:type="spellEnd"/>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 xml:space="preserve">Active-high reset synchronous with </w:t>
            </w:r>
            <w:proofErr w:type="spellStart"/>
            <w:r>
              <w:t>PixelClk</w:t>
            </w:r>
            <w:proofErr w:type="spellEnd"/>
            <w:r>
              <w:t>.</w:t>
            </w:r>
            <w:r w:rsidR="00363E7E">
              <w:t xml:space="preserve"> Configurable polarity.</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Clk_p</w:t>
            </w:r>
            <w:proofErr w:type="spellEnd"/>
            <w:r>
              <w:t>/</w:t>
            </w:r>
            <w:proofErr w:type="spellStart"/>
            <w:r>
              <w:t>Clk_n</w:t>
            </w:r>
            <w:proofErr w:type="spellEnd"/>
          </w:p>
        </w:tc>
        <w:tc>
          <w:tcPr>
            <w:tcW w:w="1109" w:type="dxa"/>
          </w:tcPr>
          <w:p w:rsidR="00450CE6" w:rsidRDefault="00B14818" w:rsidP="00F51D42">
            <w:pPr>
              <w:jc w:val="center"/>
            </w:pPr>
            <w:proofErr w:type="spellStart"/>
            <w:r>
              <w:t>tmds</w:t>
            </w:r>
            <w:proofErr w:type="spellEnd"/>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Clock Channel.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Data_p</w:t>
            </w:r>
            <w:proofErr w:type="spellEnd"/>
            <w:r>
              <w:t>[2:0]/</w:t>
            </w:r>
            <w:proofErr w:type="spellStart"/>
            <w:r>
              <w:t>Data_n</w:t>
            </w:r>
            <w:proofErr w:type="spellEnd"/>
            <w:r>
              <w:t>[2:0]</w:t>
            </w:r>
          </w:p>
        </w:tc>
        <w:tc>
          <w:tcPr>
            <w:tcW w:w="1109" w:type="dxa"/>
          </w:tcPr>
          <w:p w:rsidR="00450CE6" w:rsidRDefault="00B14818" w:rsidP="00F51D42">
            <w:pPr>
              <w:jc w:val="center"/>
            </w:pPr>
            <w:proofErr w:type="spellStart"/>
            <w:r>
              <w:t>tmds</w:t>
            </w:r>
            <w:proofErr w:type="spellEnd"/>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Data Channel 0.</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SCL</w:t>
            </w:r>
          </w:p>
        </w:tc>
        <w:tc>
          <w:tcPr>
            <w:tcW w:w="1109" w:type="dxa"/>
          </w:tcPr>
          <w:p w:rsidR="00450CE6" w:rsidRDefault="00B14818" w:rsidP="00F51D42">
            <w:pPr>
              <w:jc w:val="center"/>
            </w:pPr>
            <w:proofErr w:type="spellStart"/>
            <w:r>
              <w:t>iic</w:t>
            </w:r>
            <w:proofErr w:type="spellEnd"/>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SDA</w:t>
            </w:r>
          </w:p>
        </w:tc>
        <w:tc>
          <w:tcPr>
            <w:tcW w:w="1109" w:type="dxa"/>
          </w:tcPr>
          <w:p w:rsidR="00450CE6" w:rsidRDefault="00B14818" w:rsidP="00F51D42">
            <w:pPr>
              <w:jc w:val="center"/>
            </w:pPr>
            <w:proofErr w:type="spellStart"/>
            <w:r>
              <w:t>iic</w:t>
            </w:r>
            <w:proofErr w:type="spellEnd"/>
          </w:p>
        </w:tc>
        <w:tc>
          <w:tcPr>
            <w:tcW w:w="1522" w:type="dxa"/>
          </w:tcPr>
          <w:p w:rsidR="00450CE6" w:rsidRDefault="00450CE6" w:rsidP="00F51D42">
            <w:pPr>
              <w:jc w:val="center"/>
            </w:pPr>
            <w:r>
              <w:t>IO</w:t>
            </w:r>
          </w:p>
        </w:tc>
        <w:tc>
          <w:tcPr>
            <w:tcW w:w="971" w:type="dxa"/>
          </w:tcPr>
          <w:p w:rsidR="00450CE6" w:rsidRDefault="00450CE6" w:rsidP="00F51D42">
            <w:pPr>
              <w:jc w:val="center"/>
            </w:pPr>
            <w:proofErr w:type="spellStart"/>
            <w:r>
              <w:t>HiZ</w:t>
            </w:r>
            <w:proofErr w:type="spellEnd"/>
          </w:p>
        </w:tc>
        <w:tc>
          <w:tcPr>
            <w:tcW w:w="3248" w:type="dxa"/>
          </w:tcPr>
          <w:p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PixelClk</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r>
              <w:t>Pixel clock recovered from the TMDS clock channel. Driven by BUFR.</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pVDE</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Video data valid:</w:t>
            </w:r>
          </w:p>
          <w:p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pHSync</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Horizontal synchronization video timing signal.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pVSync</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Vertical synchronization video timing signal.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p</w:t>
            </w:r>
            <w:r w:rsidR="00E571C5">
              <w:t>Data</w:t>
            </w:r>
            <w:proofErr w:type="spellEnd"/>
            <w:r>
              <w:t xml:space="preserve"> (</w:t>
            </w:r>
            <w:r w:rsidR="00E571C5">
              <w:t>23</w:t>
            </w:r>
            <w:r>
              <w:t>:0)</w:t>
            </w:r>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zeros</w:t>
            </w:r>
          </w:p>
        </w:tc>
        <w:tc>
          <w:tcPr>
            <w:tcW w:w="3248" w:type="dxa"/>
          </w:tcPr>
          <w:p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lastRenderedPageBreak/>
              <w:t>aPixelClkLckd</w:t>
            </w:r>
            <w:proofErr w:type="spellEnd"/>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 xml:space="preserve">Active-high asynchronous locked signal for </w:t>
            </w:r>
            <w:proofErr w:type="spellStart"/>
            <w:r>
              <w:t>PixelClk</w:t>
            </w:r>
            <w:proofErr w:type="spellEnd"/>
            <w:r>
              <w:t xml:space="preserve">. When low, </w:t>
            </w:r>
            <w:proofErr w:type="spellStart"/>
            <w:r>
              <w:t>PixelClk</w:t>
            </w:r>
            <w:proofErr w:type="spellEnd"/>
            <w:r>
              <w:t xml:space="preserve"> is lost or not within specs.</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SerialClk</w:t>
            </w:r>
            <w:proofErr w:type="spellEnd"/>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pPr>
              <w:keepNext/>
            </w:pPr>
            <w:r>
              <w:t xml:space="preserve">Fast clock, toggling at five times the frequency of </w:t>
            </w:r>
            <w:proofErr w:type="spellStart"/>
            <w:r>
              <w:t>PixelClk</w:t>
            </w:r>
            <w:proofErr w:type="spellEnd"/>
            <w:r>
              <w:t>. It is used internally for deserialization. Provided optionally as output for advanced use, like clocking an RGB2DVI core. Driven by BUFIO.</w:t>
            </w:r>
          </w:p>
        </w:tc>
      </w:tr>
    </w:tbl>
    <w:p w:rsidR="00450CE6" w:rsidRDefault="004E1138" w:rsidP="004E1138">
      <w:pPr>
        <w:pStyle w:val="Caption"/>
      </w:pPr>
      <w:bookmarkStart w:id="1" w:name="_Ref402199417"/>
      <w:r>
        <w:t xml:space="preserve">Table </w:t>
      </w:r>
      <w:fldSimple w:instr=" SEQ Table \* ARABIC ">
        <w:r w:rsidR="00D756A3">
          <w:rPr>
            <w:noProof/>
          </w:rPr>
          <w:t>1</w:t>
        </w:r>
      </w:fldSimple>
      <w:bookmarkEnd w:id="1"/>
      <w:r w:rsidR="005A1047">
        <w:t>.</w:t>
      </w:r>
      <w:r>
        <w:t xml:space="preserve"> Port descriptions</w:t>
      </w:r>
      <w:r w:rsidR="005A1047">
        <w:t>.</w:t>
      </w:r>
    </w:p>
    <w:p w:rsidR="00450CE6" w:rsidRDefault="0045104B" w:rsidP="00450CE6">
      <w:pPr>
        <w:pStyle w:val="Heading1"/>
      </w:pPr>
      <w:r>
        <w:tab/>
      </w:r>
      <w:r w:rsidR="00450CE6">
        <w:t>Designing with the core</w:t>
      </w:r>
    </w:p>
    <w:p w:rsidR="00ED3C65" w:rsidRDefault="00ED3C65" w:rsidP="00ED3C65">
      <w:pPr>
        <w:pStyle w:val="Heading2"/>
      </w:pPr>
      <w:r>
        <w:tab/>
        <w:t>Constraints</w:t>
      </w:r>
    </w:p>
    <w:p w:rsidR="00860831" w:rsidRDefault="00ED3C65" w:rsidP="003C1FA6">
      <w:r>
        <w:t xml:space="preserve">The TMDS clock input </w:t>
      </w:r>
      <w:proofErr w:type="spellStart"/>
      <w:r>
        <w:t>Clk_p</w:t>
      </w:r>
      <w:proofErr w:type="spellEnd"/>
      <w:r>
        <w:t xml:space="preserve">/n is constrained in the IP to the maximum DVI clock frequency, 165 </w:t>
      </w:r>
      <w:proofErr w:type="spellStart"/>
      <w:r>
        <w:t>MHz.</w:t>
      </w:r>
      <w:proofErr w:type="spellEnd"/>
      <w:r>
        <w:t xml:space="preserve"> On some architectures this might result in timing impossible to meet. Depending on the application, if a lower pixel clock frequency is acceptable, the clock can be constrained on top-level, which will override the IP-internal co</w:t>
      </w:r>
      <w:r w:rsidR="00860831">
        <w:t>nstraints.</w:t>
      </w:r>
    </w:p>
    <w:p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rsidR="00ED3C65" w:rsidRPr="003C1FA6" w:rsidRDefault="00ED3C65" w:rsidP="003C1FA6">
      <w:pPr>
        <w:pStyle w:val="Code"/>
      </w:pPr>
      <w:proofErr w:type="spellStart"/>
      <w:r w:rsidRPr="003C1FA6">
        <w:t>create_clock</w:t>
      </w:r>
      <w:proofErr w:type="spellEnd"/>
      <w:r w:rsidRPr="003C1FA6">
        <w:t xml:space="preserve"> -period 13.468 -waveform {0.000 5.000} [</w:t>
      </w:r>
      <w:proofErr w:type="spellStart"/>
      <w:r w:rsidRPr="003C1FA6">
        <w:t>get_ports</w:t>
      </w:r>
      <w:proofErr w:type="spellEnd"/>
      <w:r w:rsidRPr="003C1FA6">
        <w:t xml:space="preserve"> </w:t>
      </w:r>
      <w:proofErr w:type="spellStart"/>
      <w:r w:rsidRPr="003C1FA6">
        <w:t>hdmi_rx_clk_p</w:t>
      </w:r>
      <w:proofErr w:type="spellEnd"/>
      <w:r w:rsidRPr="003C1FA6">
        <w:t>]</w:t>
      </w:r>
    </w:p>
    <w:p w:rsidR="00450CE6" w:rsidRDefault="0045104B" w:rsidP="00450CE6">
      <w:pPr>
        <w:pStyle w:val="Heading2"/>
      </w:pPr>
      <w:r>
        <w:tab/>
      </w:r>
      <w:r w:rsidR="00450CE6">
        <w:t>Customization</w:t>
      </w:r>
    </w:p>
    <w:p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w:t>
      </w:r>
      <w:proofErr w:type="spellStart"/>
      <w:r w:rsidR="009A1B5D">
        <w:t>PixelClk</w:t>
      </w:r>
      <w:proofErr w:type="spellEnd"/>
      <w:r w:rsidR="009A1B5D">
        <w:t xml:space="preserve">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the preferred resolution to be declared in the bundled EDID,</w:t>
      </w:r>
      <w:r w:rsidR="007820AA">
        <w:t xml:space="preserve"> </w:t>
      </w:r>
      <w:r>
        <w:t>the availability of the DDC channel</w:t>
      </w:r>
      <w:r w:rsidR="005A1047">
        <w:t>,</w:t>
      </w:r>
      <w:r>
        <w:t xml:space="preserve"> and the serial clock output.</w:t>
      </w:r>
    </w:p>
    <w:p w:rsidR="00450CE6" w:rsidRDefault="00450CE6" w:rsidP="00C06CE6">
      <w:r>
        <w:t>Enabling the DDC channel and serial clock will add the respective ports to the IP and are available to user logic.</w:t>
      </w:r>
    </w:p>
    <w:p w:rsidR="009A1B5D" w:rsidRDefault="009A1B5D" w:rsidP="00C06CE6">
      <w:r>
        <w:t>The parallel pixel clock (</w:t>
      </w:r>
      <w:proofErr w:type="spellStart"/>
      <w:r>
        <w:t>PixelClk</w:t>
      </w:r>
      <w:proofErr w:type="spellEnd"/>
      <w:r>
        <w:t xml:space="preserve">) is recovered by the use of a BUFR buffer. Since BUFR is restricted to a single clock region and the video data output from the core is synchronous to </w:t>
      </w:r>
      <w:proofErr w:type="spellStart"/>
      <w:r>
        <w:t>PixelClk</w:t>
      </w:r>
      <w:proofErr w:type="spellEnd"/>
      <w:r>
        <w:t xml:space="preserve">, any downstream logic consuming video data is also restricted to this clock region. The option to re-buffer </w:t>
      </w:r>
      <w:proofErr w:type="spellStart"/>
      <w:r>
        <w:t>PixelClk</w:t>
      </w:r>
      <w:proofErr w:type="spellEnd"/>
      <w:r>
        <w:t xml:space="preserve"> introduces a BUFG after the BUFR and re-registers video data into the BUFG-domain. This will allow downstream logic to be placed anywhere on the device.</w:t>
      </w:r>
    </w:p>
    <w:p w:rsidR="00AE0248" w:rsidRDefault="00280B29" w:rsidP="00C06CE6">
      <w:r>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rsidR="00ED309D" w:rsidRPr="00ED309D" w:rsidRDefault="00ED309D" w:rsidP="00C06CE6">
      <w:r>
        <w:lastRenderedPageBreak/>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bookmarkStart w:id="2" w:name="_GoBack"/>
      <w:bookmarkEnd w:id="2"/>
    </w:p>
    <w:p w:rsidR="00450CE6" w:rsidRDefault="0045104B" w:rsidP="00450CE6">
      <w:pPr>
        <w:pStyle w:val="Heading2"/>
      </w:pPr>
      <w:r>
        <w:tab/>
      </w:r>
      <w:r w:rsidR="00450CE6">
        <w:t xml:space="preserve">Using </w:t>
      </w:r>
      <w:proofErr w:type="spellStart"/>
      <w:r w:rsidR="00450CE6">
        <w:t>SerialClk</w:t>
      </w:r>
      <w:proofErr w:type="spellEnd"/>
    </w:p>
    <w:p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w:t>
      </w:r>
      <w:proofErr w:type="spellStart"/>
      <w:r>
        <w:t>PixelClk</w:t>
      </w:r>
      <w:proofErr w:type="spellEnd"/>
      <w:r>
        <w:t xml:space="preserve"> frequency) to clock user logic. For example, 1080p will result in a 742.5 MHz </w:t>
      </w:r>
      <w:proofErr w:type="spellStart"/>
      <w:r>
        <w:t>SerialClk</w:t>
      </w:r>
      <w:proofErr w:type="spellEnd"/>
      <w:r>
        <w:t xml:space="preserve">. </w:t>
      </w:r>
      <w:r w:rsidR="00973091">
        <w:t>A BUFIO primitive drives this clock net t</w:t>
      </w:r>
      <w:r>
        <w:t>o accommodate the large frequencies, which can only clock the I/O column in the same bank/clock region.</w:t>
      </w:r>
    </w:p>
    <w:p w:rsidR="006D2A08" w:rsidRDefault="00450CE6" w:rsidP="004E1138">
      <w:r>
        <w:t>One case would be to use this clock to drive the Digilent RGB2DVI core, sharing the clocking logic between the two cores.</w:t>
      </w:r>
    </w:p>
    <w:p w:rsidR="00377A60" w:rsidRDefault="00A45FE3" w:rsidP="003C1FA6">
      <w:pPr>
        <w:pStyle w:val="Heading2"/>
      </w:pPr>
      <w:bookmarkStart w:id="3" w:name="_Ref402972470"/>
      <w:r>
        <w:tab/>
      </w:r>
      <w:r w:rsidR="00ED309D">
        <w:t>Bundled</w:t>
      </w:r>
      <w:r w:rsidR="00377A60">
        <w:t xml:space="preserve"> EDID</w:t>
      </w:r>
      <w:bookmarkEnd w:id="3"/>
    </w:p>
    <w:p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w:t>
      </w:r>
      <w:r w:rsidR="00F65C0D">
        <w:t>.data</w:t>
      </w:r>
      <w:r>
        <w:t xml:space="preserve"> contain</w:t>
      </w:r>
      <w:r w:rsidR="00A45FE3">
        <w:t xml:space="preserve"> </w:t>
      </w:r>
      <w:r w:rsidR="00F65C0D">
        <w:t>256</w:t>
      </w:r>
      <w:r w:rsidR="00A45FE3">
        <w:t xml:space="preserve"> bytes of EDI</w:t>
      </w:r>
      <w:r>
        <w:t>D</w:t>
      </w:r>
      <w:r w:rsidR="00A45FE3">
        <w:t xml:space="preserve"> data in a format readable by </w:t>
      </w:r>
      <w:proofErr w:type="spellStart"/>
      <w:r w:rsidR="00A45FE3">
        <w:t>Vivado</w:t>
      </w:r>
      <w:proofErr w:type="spellEnd"/>
      <w:r w:rsidR="00A45FE3">
        <w:t xml:space="preserve">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r w:rsidR="00F65C0D">
        <w:t xml:space="preserve"> You may also find *.</w:t>
      </w:r>
      <w:proofErr w:type="spellStart"/>
      <w:r w:rsidR="00F65C0D">
        <w:t>dat</w:t>
      </w:r>
      <w:proofErr w:type="spellEnd"/>
      <w:r w:rsidR="00F65C0D">
        <w:t xml:space="preserve"> files in the docs/ directory that you may open in EDID editor tools.</w:t>
      </w:r>
    </w:p>
    <w:tbl>
      <w:tblPr>
        <w:tblStyle w:val="Digilent3"/>
        <w:tblW w:w="5000" w:type="pct"/>
        <w:tblLook w:val="04A0" w:firstRow="1" w:lastRow="0" w:firstColumn="1" w:lastColumn="0" w:noHBand="0" w:noVBand="1"/>
      </w:tblPr>
      <w:tblGrid>
        <w:gridCol w:w="2406"/>
        <w:gridCol w:w="2400"/>
      </w:tblGrid>
      <w:tr w:rsidR="00C2130C"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C2130C" w:rsidRDefault="00C2130C" w:rsidP="003C1FA6">
            <w:pPr>
              <w:keepNext/>
            </w:pPr>
            <w:r>
              <w:t>Monitor</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Model name</w:t>
            </w:r>
          </w:p>
        </w:tc>
        <w:tc>
          <w:tcPr>
            <w:tcW w:w="2497" w:type="pct"/>
          </w:tcPr>
          <w:p w:rsidR="00C2130C" w:rsidRDefault="00C2130C" w:rsidP="003C1FA6">
            <w:pPr>
              <w:keepNext/>
            </w:pPr>
            <w:r w:rsidRPr="00A45FE3">
              <w:t>Digilent DVI</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Manufacturer</w:t>
            </w:r>
          </w:p>
        </w:tc>
        <w:tc>
          <w:tcPr>
            <w:tcW w:w="2497" w:type="pct"/>
          </w:tcPr>
          <w:p w:rsidR="00C2130C" w:rsidRDefault="00C2130C" w:rsidP="003C1FA6">
            <w:pPr>
              <w:keepNext/>
            </w:pPr>
            <w:r w:rsidRPr="00A45FE3">
              <w:t>DGL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Plug and Play ID</w:t>
            </w:r>
          </w:p>
        </w:tc>
        <w:tc>
          <w:tcPr>
            <w:tcW w:w="2497" w:type="pct"/>
          </w:tcPr>
          <w:p w:rsidR="00C2130C" w:rsidRDefault="00F65C0D" w:rsidP="003C1FA6">
            <w:pPr>
              <w:keepNext/>
            </w:pPr>
            <w:r w:rsidRPr="00F65C0D">
              <w:t>DGL 720P CEA</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Serial number</w:t>
            </w:r>
          </w:p>
        </w:tc>
        <w:tc>
          <w:tcPr>
            <w:tcW w:w="2497" w:type="pct"/>
          </w:tcPr>
          <w:p w:rsidR="00C2130C" w:rsidRDefault="00C2130C" w:rsidP="003C1FA6">
            <w:pPr>
              <w:keepNext/>
            </w:pPr>
            <w:r w:rsidRPr="00A45FE3">
              <w:t>n/a</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Manufacture date</w:t>
            </w:r>
          </w:p>
        </w:tc>
        <w:tc>
          <w:tcPr>
            <w:tcW w:w="2497" w:type="pct"/>
          </w:tcPr>
          <w:p w:rsidR="00C2130C" w:rsidRDefault="00F65C0D" w:rsidP="003C1FA6">
            <w:pPr>
              <w:keepNext/>
            </w:pPr>
            <w:r>
              <w:t>2017, ISO week 36</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Filter driver</w:t>
            </w:r>
          </w:p>
        </w:tc>
        <w:tc>
          <w:tcPr>
            <w:tcW w:w="2497" w:type="pct"/>
          </w:tcPr>
          <w:p w:rsidR="00C2130C" w:rsidRDefault="00C2130C" w:rsidP="003C1FA6">
            <w:pPr>
              <w:keepNext/>
            </w:pPr>
            <w:r w:rsidRPr="00A45FE3">
              <w:t>None</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EDID revision</w:t>
            </w:r>
          </w:p>
        </w:tc>
        <w:tc>
          <w:tcPr>
            <w:tcW w:w="2497" w:type="pct"/>
          </w:tcPr>
          <w:p w:rsidR="00C2130C" w:rsidRDefault="00F65C0D" w:rsidP="003C1FA6">
            <w:pPr>
              <w:keepNext/>
            </w:pPr>
            <w:r>
              <w:t>1.3</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Input signal type</w:t>
            </w:r>
          </w:p>
        </w:tc>
        <w:tc>
          <w:tcPr>
            <w:tcW w:w="2497" w:type="pct"/>
          </w:tcPr>
          <w:p w:rsidR="00C2130C" w:rsidRPr="00A45FE3" w:rsidRDefault="00F65C0D" w:rsidP="003C1FA6">
            <w:pPr>
              <w:keepNext/>
            </w:pPr>
            <w:r>
              <w:t>Digital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Color bit depth</w:t>
            </w:r>
          </w:p>
        </w:tc>
        <w:tc>
          <w:tcPr>
            <w:tcW w:w="2497" w:type="pct"/>
          </w:tcPr>
          <w:p w:rsidR="00C2130C" w:rsidRPr="00A45FE3" w:rsidRDefault="00C2130C" w:rsidP="003C1FA6">
            <w:pPr>
              <w:keepNext/>
            </w:pPr>
            <w:r w:rsidRPr="00A45FE3">
              <w:t>8 bits per primary color</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Color encoding formats</w:t>
            </w:r>
          </w:p>
        </w:tc>
        <w:tc>
          <w:tcPr>
            <w:tcW w:w="2497" w:type="pct"/>
          </w:tcPr>
          <w:p w:rsidR="00C2130C" w:rsidRPr="00A45FE3" w:rsidRDefault="00C2130C" w:rsidP="003C1FA6">
            <w:pPr>
              <w:keepNext/>
            </w:pPr>
            <w:r w:rsidRPr="00A45FE3">
              <w:t>RGB 4:4:4</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Screen size</w:t>
            </w:r>
          </w:p>
        </w:tc>
        <w:tc>
          <w:tcPr>
            <w:tcW w:w="2497" w:type="pct"/>
          </w:tcPr>
          <w:p w:rsidR="00C2130C" w:rsidRPr="00A45FE3" w:rsidRDefault="00C2130C" w:rsidP="003C1FA6">
            <w:pPr>
              <w:keepNext/>
            </w:pPr>
            <w:r w:rsidRPr="00A45FE3">
              <w:t>510 x 290 mm (23.1 in)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Power management</w:t>
            </w:r>
          </w:p>
        </w:tc>
        <w:tc>
          <w:tcPr>
            <w:tcW w:w="2497" w:type="pct"/>
          </w:tcPr>
          <w:p w:rsidR="00C2130C" w:rsidRPr="00A45FE3" w:rsidRDefault="00C2130C" w:rsidP="003C1FA6">
            <w:pPr>
              <w:keepNext/>
            </w:pPr>
            <w:r w:rsidRPr="00A45FE3">
              <w:t>Not supported</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Extension blocs</w:t>
            </w:r>
          </w:p>
        </w:tc>
        <w:tc>
          <w:tcPr>
            <w:tcW w:w="2497" w:type="pct"/>
          </w:tcPr>
          <w:p w:rsidR="00C2130C" w:rsidRPr="00A45FE3" w:rsidRDefault="00F65C0D" w:rsidP="003C1FA6">
            <w:pPr>
              <w:keepNext/>
            </w:pPr>
            <w:r w:rsidRPr="00F65C0D">
              <w:t>CEA Extension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57022A">
              <w:t>DDC/CI</w:t>
            </w:r>
          </w:p>
        </w:tc>
        <w:tc>
          <w:tcPr>
            <w:tcW w:w="2497" w:type="pct"/>
          </w:tcPr>
          <w:p w:rsidR="00C2130C" w:rsidRPr="0057022A" w:rsidRDefault="00C2130C" w:rsidP="003C1FA6">
            <w:pPr>
              <w:keepNext/>
            </w:pPr>
            <w:r w:rsidRPr="0057022A">
              <w:t>n/a</w:t>
            </w:r>
          </w:p>
        </w:tc>
      </w:tr>
    </w:tbl>
    <w:p w:rsidR="00A45FE3" w:rsidRDefault="00A45FE3"/>
    <w:tbl>
      <w:tblPr>
        <w:tblStyle w:val="Digilent3"/>
        <w:tblW w:w="5000" w:type="pct"/>
        <w:tblLook w:val="04A0" w:firstRow="1" w:lastRow="0" w:firstColumn="1" w:lastColumn="0" w:noHBand="0" w:noVBand="1"/>
      </w:tblPr>
      <w:tblGrid>
        <w:gridCol w:w="2465"/>
        <w:gridCol w:w="2341"/>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rsidRPr="0057022A">
              <w:t>Color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Default color space</w:t>
            </w:r>
          </w:p>
        </w:tc>
        <w:tc>
          <w:tcPr>
            <w:tcW w:w="2434" w:type="pct"/>
          </w:tcPr>
          <w:p w:rsidR="0057022A" w:rsidRDefault="0057022A" w:rsidP="003C1FA6">
            <w:pPr>
              <w:keepNext/>
            </w:pPr>
            <w:r w:rsidRPr="0057022A">
              <w:t>Non-</w:t>
            </w:r>
            <w:proofErr w:type="spellStart"/>
            <w:r w:rsidRPr="0057022A">
              <w:t>sRGB</w:t>
            </w:r>
            <w:proofErr w:type="spellEnd"/>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Display gamma</w:t>
            </w:r>
          </w:p>
        </w:tc>
        <w:tc>
          <w:tcPr>
            <w:tcW w:w="2434" w:type="pct"/>
          </w:tcPr>
          <w:p w:rsidR="0057022A" w:rsidRDefault="0057022A" w:rsidP="003C1FA6">
            <w:pPr>
              <w:keepNext/>
            </w:pPr>
            <w:r w:rsidRPr="0057022A">
              <w:t>2.20</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Red chromaticity</w:t>
            </w:r>
          </w:p>
        </w:tc>
        <w:tc>
          <w:tcPr>
            <w:tcW w:w="2434" w:type="pct"/>
          </w:tcPr>
          <w:p w:rsidR="0057022A" w:rsidRDefault="00F65C0D" w:rsidP="003C1FA6">
            <w:pPr>
              <w:keepNext/>
            </w:pPr>
            <w:r>
              <w:t>Rx 0.6380 - Ry 0.3302</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Green chromaticity</w:t>
            </w:r>
          </w:p>
        </w:tc>
        <w:tc>
          <w:tcPr>
            <w:tcW w:w="2434" w:type="pct"/>
          </w:tcPr>
          <w:p w:rsidR="0057022A" w:rsidRDefault="0057022A" w:rsidP="003C1FA6">
            <w:pPr>
              <w:keepNext/>
            </w:pPr>
            <w:proofErr w:type="spellStart"/>
            <w:r w:rsidRPr="0057022A">
              <w:t>Gx</w:t>
            </w:r>
            <w:proofErr w:type="spellEnd"/>
            <w:r w:rsidRPr="0057022A">
              <w:t xml:space="preserve"> 0.</w:t>
            </w:r>
            <w:r w:rsidR="00F65C0D">
              <w:t>3117</w:t>
            </w:r>
            <w:r w:rsidRPr="0057022A">
              <w:t xml:space="preserve"> - </w:t>
            </w:r>
            <w:proofErr w:type="spellStart"/>
            <w:r w:rsidRPr="0057022A">
              <w:t>Gy</w:t>
            </w:r>
            <w:proofErr w:type="spellEnd"/>
            <w:r w:rsidRPr="0057022A">
              <w:t xml:space="preserve"> 0.</w:t>
            </w:r>
            <w:r w:rsidR="00F65C0D">
              <w:t>6233</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Blue chromaticity</w:t>
            </w:r>
          </w:p>
        </w:tc>
        <w:tc>
          <w:tcPr>
            <w:tcW w:w="2434" w:type="pct"/>
          </w:tcPr>
          <w:p w:rsidR="0057022A" w:rsidRDefault="0057022A" w:rsidP="003C1FA6">
            <w:pPr>
              <w:keepNext/>
            </w:pPr>
            <w:proofErr w:type="spellStart"/>
            <w:r w:rsidRPr="0057022A">
              <w:t>Bx</w:t>
            </w:r>
            <w:proofErr w:type="spellEnd"/>
            <w:r w:rsidRPr="0057022A">
              <w:t xml:space="preserve"> 0.</w:t>
            </w:r>
            <w:r w:rsidR="00F65C0D">
              <w:t>1505</w:t>
            </w:r>
            <w:r w:rsidRPr="0057022A">
              <w:t xml:space="preserve"> - By 0.</w:t>
            </w:r>
            <w:r w:rsidR="00F65C0D">
              <w:t>0684</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White point (default)</w:t>
            </w:r>
          </w:p>
        </w:tc>
        <w:tc>
          <w:tcPr>
            <w:tcW w:w="2434" w:type="pct"/>
          </w:tcPr>
          <w:p w:rsidR="0057022A" w:rsidRDefault="0057022A" w:rsidP="003C1FA6">
            <w:pPr>
              <w:keepNext/>
            </w:pPr>
            <w:proofErr w:type="spellStart"/>
            <w:r w:rsidRPr="0057022A">
              <w:t>Wx</w:t>
            </w:r>
            <w:proofErr w:type="spellEnd"/>
            <w:r w:rsidRPr="0057022A">
              <w:t xml:space="preserve"> 0.</w:t>
            </w:r>
            <w:r w:rsidR="00F65C0D">
              <w:t>3136</w:t>
            </w:r>
            <w:r w:rsidRPr="0057022A">
              <w:t xml:space="preserve"> - </w:t>
            </w:r>
            <w:proofErr w:type="spellStart"/>
            <w:r w:rsidRPr="0057022A">
              <w:t>Wy</w:t>
            </w:r>
            <w:proofErr w:type="spellEnd"/>
            <w:r w:rsidRPr="0057022A">
              <w:t xml:space="preserve"> 0.</w:t>
            </w:r>
            <w:r w:rsidR="00F65C0D">
              <w:t>3293</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Additional descriptors</w:t>
            </w:r>
          </w:p>
        </w:tc>
        <w:tc>
          <w:tcPr>
            <w:tcW w:w="2434" w:type="pct"/>
          </w:tcPr>
          <w:p w:rsidR="0057022A" w:rsidRDefault="0057022A" w:rsidP="003C1FA6">
            <w:pPr>
              <w:keepNext/>
            </w:pPr>
            <w:r w:rsidRPr="0057022A">
              <w:t>None</w:t>
            </w:r>
          </w:p>
        </w:tc>
      </w:tr>
    </w:tbl>
    <w:p w:rsidR="00C4433C" w:rsidRDefault="00C4433C"/>
    <w:tbl>
      <w:tblPr>
        <w:tblStyle w:val="Digilent3"/>
        <w:tblW w:w="5000" w:type="pct"/>
        <w:tblLook w:val="04A0" w:firstRow="1" w:lastRow="0" w:firstColumn="1" w:lastColumn="0" w:noHBand="0" w:noVBand="1"/>
      </w:tblPr>
      <w:tblGrid>
        <w:gridCol w:w="1714"/>
        <w:gridCol w:w="3092"/>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lastRenderedPageBreak/>
              <w:t>Timing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GTF standard</w:t>
            </w:r>
          </w:p>
        </w:tc>
        <w:tc>
          <w:tcPr>
            <w:tcW w:w="3235" w:type="pct"/>
          </w:tcPr>
          <w:p w:rsidR="0057022A" w:rsidRDefault="0057022A" w:rsidP="003C1FA6">
            <w:pPr>
              <w:keepNext/>
            </w:pPr>
            <w:r>
              <w:t>Not supported</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Additional descriptors</w:t>
            </w:r>
          </w:p>
        </w:tc>
        <w:tc>
          <w:tcPr>
            <w:tcW w:w="3235" w:type="pct"/>
          </w:tcPr>
          <w:p w:rsidR="0057022A" w:rsidRDefault="0057022A" w:rsidP="003C1FA6">
            <w:pPr>
              <w:keepNext/>
            </w:pPr>
            <w:r>
              <w:t>None</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Preferred timing</w:t>
            </w:r>
          </w:p>
        </w:tc>
        <w:tc>
          <w:tcPr>
            <w:tcW w:w="3235" w:type="pct"/>
          </w:tcPr>
          <w:p w:rsidR="0057022A" w:rsidRDefault="00F65C0D" w:rsidP="003C1FA6">
            <w:pPr>
              <w:keepNext/>
            </w:pPr>
            <w:r>
              <w:t>Yes</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F65C0D" w:rsidP="003C1FA6">
            <w:pPr>
              <w:keepNext/>
            </w:pPr>
            <w:r>
              <w:t>Detailed timing</w:t>
            </w:r>
          </w:p>
        </w:tc>
        <w:tc>
          <w:tcPr>
            <w:tcW w:w="3235" w:type="pct"/>
          </w:tcPr>
          <w:p w:rsidR="0057022A" w:rsidRDefault="00F65C0D" w:rsidP="003C1FA6">
            <w:pPr>
              <w:keepNext/>
            </w:pPr>
            <w:r>
              <w:t>1280 x 720 at 60Hz</w:t>
            </w:r>
          </w:p>
          <w:p w:rsidR="00F65C0D" w:rsidRDefault="00F65C0D" w:rsidP="003C1FA6">
            <w:pPr>
              <w:keepNext/>
            </w:pPr>
            <w:r>
              <w:t>1920 x 1080 at 60Hz</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F65C0D" w:rsidP="003C1FA6">
            <w:pPr>
              <w:keepNext/>
            </w:pPr>
            <w:r>
              <w:t>Established</w:t>
            </w:r>
            <w:r w:rsidR="0057022A">
              <w:t xml:space="preserve"> timings</w:t>
            </w:r>
          </w:p>
        </w:tc>
        <w:tc>
          <w:tcPr>
            <w:tcW w:w="3235" w:type="pct"/>
          </w:tcPr>
          <w:p w:rsidR="0057022A" w:rsidRDefault="0057022A" w:rsidP="003C1FA6">
            <w:pPr>
              <w:keepNext/>
            </w:pPr>
            <w:r>
              <w:t>640 x</w:t>
            </w:r>
            <w:r w:rsidR="00C4433C">
              <w:t xml:space="preserve"> </w:t>
            </w:r>
            <w:r>
              <w:t>480p at</w:t>
            </w:r>
            <w:r w:rsidR="00C4433C">
              <w:t xml:space="preserve"> </w:t>
            </w:r>
            <w:r>
              <w:t>60Hz - IBM VGA</w:t>
            </w:r>
          </w:p>
          <w:p w:rsidR="0057022A" w:rsidRDefault="0057022A" w:rsidP="003C1FA6">
            <w:pPr>
              <w:keepNext/>
            </w:pPr>
            <w:r>
              <w:t>800 x</w:t>
            </w:r>
            <w:r w:rsidR="00C4433C">
              <w:t xml:space="preserve"> </w:t>
            </w:r>
            <w:r>
              <w:t>600p at</w:t>
            </w:r>
            <w:r w:rsidR="00C4433C">
              <w:t xml:space="preserve"> </w:t>
            </w:r>
            <w:r>
              <w:t>60Hz - VESA</w:t>
            </w:r>
          </w:p>
          <w:p w:rsidR="0057022A" w:rsidRDefault="0057022A" w:rsidP="003C1FA6">
            <w:pPr>
              <w:keepNext/>
            </w:pPr>
            <w:r>
              <w:t>1024 x</w:t>
            </w:r>
            <w:r w:rsidR="00C4433C">
              <w:t xml:space="preserve"> </w:t>
            </w:r>
            <w:r>
              <w:t>768p at</w:t>
            </w:r>
            <w:r w:rsidR="00C4433C">
              <w:t xml:space="preserve"> </w:t>
            </w:r>
            <w:r>
              <w:t>60Hz - VESA</w:t>
            </w:r>
          </w:p>
          <w:p w:rsidR="00A902A8" w:rsidRDefault="0057022A" w:rsidP="003C1FA6">
            <w:pPr>
              <w:keepNext/>
            </w:pPr>
            <w:r>
              <w:t>1280 x 1024p at</w:t>
            </w:r>
            <w:r w:rsidR="00C4433C">
              <w:t xml:space="preserve"> </w:t>
            </w:r>
            <w:r>
              <w:t>60Hz - VESA STD</w:t>
            </w:r>
          </w:p>
        </w:tc>
      </w:tr>
    </w:tbl>
    <w:p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rsidR="0057022A" w:rsidRPr="00CD649D" w:rsidRDefault="00C4433C" w:rsidP="003C1FA6">
      <w:pPr>
        <w:pStyle w:val="Caption"/>
      </w:pPr>
      <w:r>
        <w:t xml:space="preserve">Table </w:t>
      </w:r>
      <w:fldSimple w:instr=" SEQ Table \* ARABIC ">
        <w:r w:rsidR="00D756A3">
          <w:rPr>
            <w:noProof/>
          </w:rPr>
          <w:t>2</w:t>
        </w:r>
      </w:fldSimple>
      <w:r>
        <w:t>. Default EDID.</w:t>
      </w:r>
    </w:p>
    <w:p w:rsidR="00DE740D" w:rsidRDefault="0045104B" w:rsidP="00DE740D">
      <w:pPr>
        <w:pStyle w:val="Heading1"/>
      </w:pPr>
      <w:r>
        <w:tab/>
      </w:r>
      <w:r w:rsidR="00DE740D">
        <w:t>References</w:t>
      </w:r>
    </w:p>
    <w:p w:rsidR="002C7DA4" w:rsidRPr="00CD649D" w:rsidRDefault="002C7DA4" w:rsidP="003C1FA6">
      <w:r>
        <w:t xml:space="preserve">The following documents provide </w:t>
      </w:r>
      <w:r w:rsidR="00814326">
        <w:t>additional</w:t>
      </w:r>
      <w:r>
        <w:t xml:space="preserve"> information on the </w:t>
      </w:r>
      <w:r w:rsidR="005236CD">
        <w:t>subjects discussed:</w:t>
      </w:r>
    </w:p>
    <w:p w:rsidR="00DE740D" w:rsidRDefault="00DE740D" w:rsidP="00DE740D">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v1.3, October 31, 2012.</w:t>
      </w:r>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945" w:rsidRDefault="00722945" w:rsidP="00E315A5">
      <w:r>
        <w:separator/>
      </w:r>
    </w:p>
  </w:endnote>
  <w:endnote w:type="continuationSeparator" w:id="0">
    <w:p w:rsidR="00722945" w:rsidRDefault="00722945"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rsidTr="00E065CE">
      <w:trPr>
        <w:trHeight w:val="238"/>
      </w:trPr>
      <w:tc>
        <w:tcPr>
          <w:tcW w:w="7398" w:type="dxa"/>
          <w:shd w:val="clear" w:color="auto" w:fill="FFFFFF" w:themeFill="background1"/>
          <w:vAlign w:val="center"/>
        </w:tcPr>
        <w:p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756A3">
            <w:rPr>
              <w:b/>
              <w:noProof/>
              <w:sz w:val="20"/>
            </w:rPr>
            <w:t>8</w:t>
          </w:r>
          <w:r w:rsidRPr="00162709">
            <w:rPr>
              <w:b/>
              <w:sz w:val="20"/>
            </w:rPr>
            <w:fldChar w:fldCharType="end"/>
          </w:r>
          <w:r w:rsidRPr="00162709">
            <w:rPr>
              <w:sz w:val="20"/>
            </w:rPr>
            <w:t xml:space="preserve"> of </w:t>
          </w:r>
          <w:fldSimple w:instr=" NUMPAGES  \* Arabic  \* MERGEFORMAT ">
            <w:r w:rsidR="00D756A3" w:rsidRPr="00D756A3">
              <w:rPr>
                <w:b/>
                <w:noProof/>
                <w:sz w:val="20"/>
              </w:rPr>
              <w:t>8</w:t>
            </w:r>
          </w:fldSimple>
        </w:p>
      </w:tc>
    </w:tr>
  </w:tbl>
  <w:p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rsidTr="003B25BC">
      <w:trPr>
        <w:trHeight w:val="238"/>
      </w:trPr>
      <w:tc>
        <w:tcPr>
          <w:tcW w:w="1548" w:type="dxa"/>
          <w:shd w:val="clear" w:color="auto" w:fill="00532C" w:themeFill="accent3" w:themeFillShade="BF"/>
          <w:vAlign w:val="center"/>
        </w:tcPr>
        <w:p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756A3">
            <w:rPr>
              <w:b/>
              <w:noProof/>
              <w:sz w:val="20"/>
            </w:rPr>
            <w:t>1</w:t>
          </w:r>
          <w:r w:rsidRPr="00162709">
            <w:rPr>
              <w:b/>
              <w:sz w:val="20"/>
            </w:rPr>
            <w:fldChar w:fldCharType="end"/>
          </w:r>
          <w:r w:rsidRPr="00162709">
            <w:rPr>
              <w:sz w:val="20"/>
            </w:rPr>
            <w:t xml:space="preserve"> of </w:t>
          </w:r>
          <w:fldSimple w:instr=" NUMPAGES  \* Arabic  \* MERGEFORMAT ">
            <w:r w:rsidR="00D756A3" w:rsidRPr="00D756A3">
              <w:rPr>
                <w:b/>
                <w:noProof/>
                <w:sz w:val="20"/>
              </w:rPr>
              <w:t>8</w:t>
            </w:r>
          </w:fldSimple>
          <w:bookmarkStart w:id="4" w:name="_Toc365459769"/>
        </w:p>
      </w:tc>
    </w:tr>
    <w:bookmarkEnd w:id="4"/>
  </w:tbl>
  <w:p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945" w:rsidRDefault="00722945" w:rsidP="00E315A5">
      <w:r>
        <w:separator/>
      </w:r>
    </w:p>
  </w:footnote>
  <w:footnote w:type="continuationSeparator" w:id="0">
    <w:p w:rsidR="00722945" w:rsidRDefault="00722945"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rsidTr="00EA2837">
      <w:trPr>
        <w:trHeight w:val="90"/>
      </w:trPr>
      <w:tc>
        <w:tcPr>
          <w:tcW w:w="7668" w:type="dxa"/>
          <w:vAlign w:val="center"/>
        </w:tcPr>
        <w:p w:rsidR="00ED309D" w:rsidRPr="00F82C33" w:rsidRDefault="00ED309D" w:rsidP="00530CF0">
          <w:pPr>
            <w:pStyle w:val="Header"/>
            <w:rPr>
              <w:b/>
            </w:rPr>
          </w:pPr>
          <w:r w:rsidRPr="00F372EE">
            <w:rPr>
              <w:b/>
            </w:rPr>
            <w:t xml:space="preserve">DVI-to-RGB (Sink) </w:t>
          </w:r>
          <w:r w:rsidRPr="00C06CE6">
            <w:rPr>
              <w:b/>
            </w:rPr>
            <w:t>1.</w:t>
          </w:r>
          <w:r w:rsidR="00941761">
            <w:rPr>
              <w:b/>
            </w:rPr>
            <w:t>8</w:t>
          </w:r>
          <w:r>
            <w:rPr>
              <w:b/>
            </w:rPr>
            <w:t xml:space="preserve"> </w:t>
          </w:r>
          <w:r w:rsidRPr="00F372EE">
            <w:rPr>
              <w:b/>
            </w:rPr>
            <w:t>IP Core</w:t>
          </w:r>
          <w:r>
            <w:rPr>
              <w:b/>
            </w:rPr>
            <w:t xml:space="preserve"> User Guide</w:t>
          </w:r>
        </w:p>
      </w:tc>
      <w:tc>
        <w:tcPr>
          <w:tcW w:w="1908" w:type="dxa"/>
        </w:tcPr>
        <w:p w:rsidR="00ED309D" w:rsidRDefault="00ED309D" w:rsidP="00F82C33">
          <w:pPr>
            <w:pStyle w:val="Header"/>
            <w:jc w:val="right"/>
          </w:pPr>
          <w:r>
            <w:rPr>
              <w:noProof/>
            </w:rPr>
            <w:drawing>
              <wp:inline distT="0" distB="0" distL="0" distR="0" wp14:anchorId="5432F8F5" wp14:editId="4285AB8A">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rsidTr="003B25BC">
      <w:trPr>
        <w:trHeight w:val="990"/>
      </w:trPr>
      <w:tc>
        <w:tcPr>
          <w:tcW w:w="6498" w:type="dxa"/>
          <w:vAlign w:val="center"/>
        </w:tcPr>
        <w:p w:rsidR="00ED309D" w:rsidRPr="0010542D" w:rsidRDefault="00ED309D" w:rsidP="00E315A5">
          <w:pPr>
            <w:pStyle w:val="Header"/>
          </w:pPr>
          <w:r>
            <w:rPr>
              <w:noProof/>
            </w:rPr>
            <w:drawing>
              <wp:inline distT="0" distB="0" distL="0" distR="0" wp14:anchorId="1D12B37D" wp14:editId="717C7A87">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ED309D" w:rsidRPr="003B25BC" w:rsidRDefault="00ED309D" w:rsidP="003B25BC">
          <w:pPr>
            <w:pStyle w:val="Contactinfo"/>
          </w:pPr>
          <w:r w:rsidRPr="003B25BC">
            <w:t>1300 Henley Court</w:t>
          </w:r>
        </w:p>
        <w:p w:rsidR="00ED309D" w:rsidRPr="003B25BC" w:rsidRDefault="00ED309D" w:rsidP="003B25BC">
          <w:pPr>
            <w:pStyle w:val="Contactinfo"/>
          </w:pPr>
          <w:r w:rsidRPr="003B25BC">
            <w:t>Pullman, WA 99163</w:t>
          </w:r>
          <w:r w:rsidRPr="003B25BC">
            <w:br/>
            <w:t>509.334.6306</w:t>
          </w:r>
        </w:p>
        <w:p w:rsidR="00ED309D" w:rsidRPr="00F93DE7" w:rsidRDefault="00ED309D" w:rsidP="003B25BC">
          <w:pPr>
            <w:pStyle w:val="Contactinfo"/>
          </w:pPr>
          <w:r w:rsidRPr="003B25BC">
            <w:t>www.digilentinc.com</w:t>
          </w:r>
        </w:p>
      </w:tc>
    </w:tr>
    <w:tr w:rsidR="00ED309D" w:rsidTr="00B74CBE">
      <w:trPr>
        <w:trHeight w:val="1080"/>
      </w:trPr>
      <w:tc>
        <w:tcPr>
          <w:tcW w:w="9576" w:type="dxa"/>
          <w:gridSpan w:val="2"/>
          <w:vAlign w:val="center"/>
        </w:tcPr>
        <w:p w:rsidR="00ED309D" w:rsidRPr="00B74CBE" w:rsidRDefault="00F65C0D" w:rsidP="00AA07A8">
          <w:pPr>
            <w:pStyle w:val="Title"/>
          </w:pPr>
          <w:r>
            <w:t>DVI-to-RGB (Sink) 1.8</w:t>
          </w:r>
          <w:r w:rsidR="00ED309D">
            <w:t xml:space="preserve"> IP Core User Guide</w:t>
          </w:r>
        </w:p>
        <w:p w:rsidR="00ED309D" w:rsidRPr="00050D85" w:rsidRDefault="00ED309D">
          <w:pPr>
            <w:pStyle w:val="Subtitle"/>
          </w:pPr>
          <w:r w:rsidRPr="00CA699C">
            <w:t xml:space="preserve">Revised </w:t>
          </w:r>
          <w:r>
            <w:fldChar w:fldCharType="begin"/>
          </w:r>
          <w:r>
            <w:instrText xml:space="preserve"> DATE \@ "MMMM d, yyyy" </w:instrText>
          </w:r>
          <w:r>
            <w:fldChar w:fldCharType="separate"/>
          </w:r>
          <w:r w:rsidR="00D756A3">
            <w:rPr>
              <w:noProof/>
            </w:rPr>
            <w:t>September 7, 2017</w:t>
          </w:r>
          <w:r>
            <w:fldChar w:fldCharType="end"/>
          </w:r>
          <w:r>
            <w:t>; Author Elod Gyorgy</w:t>
          </w:r>
        </w:p>
      </w:tc>
    </w:tr>
  </w:tbl>
  <w:p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06CB0"/>
    <w:rsid w:val="00014B51"/>
    <w:rsid w:val="0001711B"/>
    <w:rsid w:val="00030268"/>
    <w:rsid w:val="00032294"/>
    <w:rsid w:val="00044C8F"/>
    <w:rsid w:val="00050D85"/>
    <w:rsid w:val="00052ACD"/>
    <w:rsid w:val="0005584B"/>
    <w:rsid w:val="00055FF9"/>
    <w:rsid w:val="0005721E"/>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611251"/>
    <w:rsid w:val="006127FF"/>
    <w:rsid w:val="00613EFF"/>
    <w:rsid w:val="00626BE4"/>
    <w:rsid w:val="00627A64"/>
    <w:rsid w:val="00636F95"/>
    <w:rsid w:val="00637C98"/>
    <w:rsid w:val="00640CB0"/>
    <w:rsid w:val="00656AD2"/>
    <w:rsid w:val="00657E94"/>
    <w:rsid w:val="00666094"/>
    <w:rsid w:val="0067355A"/>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22945"/>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406EC"/>
    <w:rsid w:val="00845BBD"/>
    <w:rsid w:val="008538E9"/>
    <w:rsid w:val="0085641A"/>
    <w:rsid w:val="00860831"/>
    <w:rsid w:val="008817E5"/>
    <w:rsid w:val="008911F7"/>
    <w:rsid w:val="00896F5F"/>
    <w:rsid w:val="008A4320"/>
    <w:rsid w:val="008A4642"/>
    <w:rsid w:val="008A6A3A"/>
    <w:rsid w:val="008A70FD"/>
    <w:rsid w:val="008D0A36"/>
    <w:rsid w:val="008D0A61"/>
    <w:rsid w:val="008D5033"/>
    <w:rsid w:val="008F4BFE"/>
    <w:rsid w:val="0091073F"/>
    <w:rsid w:val="00925A37"/>
    <w:rsid w:val="009267F7"/>
    <w:rsid w:val="009328BD"/>
    <w:rsid w:val="00932DAB"/>
    <w:rsid w:val="00941761"/>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52314"/>
    <w:rsid w:val="00D61152"/>
    <w:rsid w:val="00D71614"/>
    <w:rsid w:val="00D756A3"/>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324C4"/>
    <w:rsid w:val="00F372EE"/>
    <w:rsid w:val="00F40C25"/>
    <w:rsid w:val="00F51D42"/>
    <w:rsid w:val="00F554C3"/>
    <w:rsid w:val="00F56E1B"/>
    <w:rsid w:val="00F65C0D"/>
    <w:rsid w:val="00F7176B"/>
    <w:rsid w:val="00F75293"/>
    <w:rsid w:val="00F82C33"/>
    <w:rsid w:val="00F87216"/>
    <w:rsid w:val="00F90691"/>
    <w:rsid w:val="00F91CBD"/>
    <w:rsid w:val="00F93DE7"/>
    <w:rsid w:val="00F94297"/>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C8294"/>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8268FB9F-DDA1-46FB-9392-B992D72F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4</cp:revision>
  <cp:lastPrinted>2017-09-07T13:31:00Z</cp:lastPrinted>
  <dcterms:created xsi:type="dcterms:W3CDTF">2017-09-07T13:31:00Z</dcterms:created>
  <dcterms:modified xsi:type="dcterms:W3CDTF">2017-09-07T13:32:00Z</dcterms:modified>
</cp:coreProperties>
</file>