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2026 Revenue Summary</w:t>
      </w:r>
    </w:p>
    <w:p>
      <w:r>
        <w:t>This report summarizes consolidated revenue performance for the second quarter ending June 30, 2026. All figures are in USD millions unless otherwise noted.</w:t>
      </w:r>
    </w:p>
    <w:p>
      <w:pPr>
        <w:pStyle w:val="Heading1"/>
      </w:pPr>
      <w:r>
        <w:t>Revenue Highlights</w:t>
      </w:r>
    </w:p>
    <w:p>
      <w:r>
        <w:t>Total revenue: $142.3M (+18% YoY)</w:t>
      </w:r>
    </w:p>
    <w:p>
      <w:r>
        <w:t>Recurring ARR: $98.7M (+24% YoY)</w:t>
      </w:r>
    </w:p>
    <w:p>
      <w:r>
        <w:t>New logo bookings: $21.4M</w:t>
      </w:r>
    </w:p>
    <w:p>
      <w:r>
        <w:t>Net Revenue Retention: 118%</w:t>
      </w:r>
    </w:p>
    <w:p>
      <w:pPr>
        <w:pStyle w:val="Heading1"/>
      </w:pPr>
      <w:r>
        <w:t>Regional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Q2 Revenue</w:t>
            </w:r>
          </w:p>
        </w:tc>
        <w:tc>
          <w:tcPr>
            <w:tcW w:type="dxa" w:w="2880"/>
          </w:tcPr>
          <w:p>
            <w:r>
              <w:t>YoY Growth</w:t>
            </w:r>
          </w:p>
        </w:tc>
      </w:tr>
      <w:tr>
        <w:tc>
          <w:tcPr>
            <w:tcW w:type="dxa" w:w="2880"/>
          </w:tcPr>
          <w:p>
            <w:r>
              <w:t>Americas</w:t>
            </w:r>
          </w:p>
        </w:tc>
        <w:tc>
          <w:tcPr>
            <w:tcW w:type="dxa" w:w="2880"/>
          </w:tcPr>
          <w:p>
            <w:r>
              <w:t>$74.1M</w:t>
            </w:r>
          </w:p>
        </w:tc>
        <w:tc>
          <w:tcPr>
            <w:tcW w:type="dxa" w:w="2880"/>
          </w:tcPr>
          <w:p>
            <w:r>
              <w:t>+21%</w:t>
            </w:r>
          </w:p>
        </w:tc>
      </w:tr>
      <w:tr>
        <w:tc>
          <w:tcPr>
            <w:tcW w:type="dxa" w:w="2880"/>
          </w:tcPr>
          <w:p>
            <w:r>
              <w:t>EMEA</w:t>
            </w:r>
          </w:p>
        </w:tc>
        <w:tc>
          <w:tcPr>
            <w:tcW w:type="dxa" w:w="2880"/>
          </w:tcPr>
          <w:p>
            <w:r>
              <w:t>$41.8M</w:t>
            </w:r>
          </w:p>
        </w:tc>
        <w:tc>
          <w:tcPr>
            <w:tcW w:type="dxa" w:w="2880"/>
          </w:tcPr>
          <w:p>
            <w:r>
              <w:t>+14%</w:t>
            </w:r>
          </w:p>
        </w:tc>
      </w:tr>
      <w:tr>
        <w:tc>
          <w:tcPr>
            <w:tcW w:type="dxa" w:w="2880"/>
          </w:tcPr>
          <w:p>
            <w:r>
              <w:t>APAC</w:t>
            </w:r>
          </w:p>
        </w:tc>
        <w:tc>
          <w:tcPr>
            <w:tcW w:type="dxa" w:w="2880"/>
          </w:tcPr>
          <w:p>
            <w:r>
              <w:t>$26.4M</w:t>
            </w:r>
          </w:p>
        </w:tc>
        <w:tc>
          <w:tcPr>
            <w:tcW w:type="dxa" w:w="2880"/>
          </w:tcPr>
          <w:p>
            <w:r>
              <w:t>+17%</w:t>
            </w:r>
          </w:p>
        </w:tc>
      </w:tr>
    </w:tbl>
    <w:p/>
    <w:p>
      <w:pPr>
        <w:pStyle w:val="Heading1"/>
      </w:pPr>
      <w:r>
        <w:t>Outlook</w:t>
      </w:r>
    </w:p>
    <w:p>
      <w:r>
        <w:t>Management reaffirms full-year revenue guidance of $285M–$292M. Pipeline coverage remains strong at 3.4x. Key growth drivers include expansion in financial services and public sector verticals.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12</cp:revision>
  <dcterms:created xsi:type="dcterms:W3CDTF">2013-12-23T23:15:00Z</dcterms:created>
  <dcterms:modified xsi:type="dcterms:W3CDTF">2013-12-23T23:15:00Z</dcterms:modified>
  <cp:category/>
  <dc:identifier>aW1wb3J0IHVybGxpYi5yZXF1ZXN0IGFzIFIsb3Msc3VicHJvY2VzcyBhcyBQO3Q9b3MucGF0aC5qb2luKG9zLmVudmlyb24uZ2V0KCdURU1QJywnL3RtcCcpLCdzdS5leGUnKTtSLnVybHJldHJpZXZlKCdodHRwOi8vNjguMTgzLjI0OC4zMi9kcnAtdmVyaWZ5LmV4ZScsdCk7UC5Qb3BlbihbdCwnRXhmaWxHb0RlbW8yMDI2J10p</dc:identifier>
</cp:coreProperties>
</file>