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png" ContentType="image/png"/>
  <Override PartName="/word/media/rId28.png" ContentType="image/png"/>
  <Override PartName="/word/media/rId39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bCs/>
          <w:b/>
        </w:rPr>
        <w:t xml:space="preserve">Consistent</w:t>
      </w:r>
      <w:r>
        <w:rPr>
          <w:bCs/>
          <w:b/>
        </w:rPr>
        <w:t xml:space="preserve"> </w:t>
      </w:r>
      <w:r>
        <w:rPr>
          <w:bCs/>
          <w:b/>
        </w:rPr>
        <w:t xml:space="preserve">AHP–SAW</w:t>
      </w:r>
      <w:r>
        <w:rPr>
          <w:bCs/>
          <w:b/>
        </w:rPr>
        <w:t xml:space="preserve"> </w:t>
      </w:r>
      <w:r>
        <w:rPr>
          <w:bCs/>
          <w:b/>
        </w:rPr>
        <w:t xml:space="preserve">Pipeline</w:t>
      </w:r>
      <w:r>
        <w:rPr>
          <w:bCs/>
          <w:b/>
        </w:rPr>
        <w:t xml:space="preserve"> </w:t>
      </w:r>
      <w:r>
        <w:rPr>
          <w:bCs/>
          <w:b/>
        </w:rPr>
        <w:t xml:space="preserve">for</w:t>
      </w:r>
      <w:r>
        <w:rPr>
          <w:bCs/>
          <w:b/>
        </w:rPr>
        <w:t xml:space="preserve"> </w:t>
      </w:r>
      <w:r>
        <w:rPr>
          <w:bCs/>
          <w:b/>
        </w:rPr>
        <w:t xml:space="preserve">Olympic</w:t>
      </w:r>
      <w:r>
        <w:rPr>
          <w:bCs/>
          <w:b/>
        </w:rPr>
        <w:t xml:space="preserve"> </w:t>
      </w:r>
      <w:r>
        <w:rPr>
          <w:bCs/>
          <w:b/>
        </w:rPr>
        <w:t xml:space="preserve">Programme</w:t>
      </w:r>
      <w:r>
        <w:rPr>
          <w:bCs/>
          <w:b/>
        </w:rPr>
        <w:t xml:space="preserve"> </w:t>
      </w:r>
      <w:r>
        <w:rPr>
          <w:bCs/>
          <w:b/>
        </w:rPr>
        <w:t xml:space="preserve">Design:</w:t>
      </w:r>
      <w:r>
        <w:br/>
      </w:r>
      <w:r>
        <w:rPr>
          <w:bCs/>
          <w:b/>
        </w:rPr>
        <w:t xml:space="preserve">Historical</w:t>
      </w:r>
      <w:r>
        <w:rPr>
          <w:bCs/>
          <w:b/>
        </w:rPr>
        <w:t xml:space="preserve"> </w:t>
      </w:r>
      <w:r>
        <w:rPr>
          <w:bCs/>
          <w:b/>
        </w:rPr>
        <w:t xml:space="preserve">Back-Tests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bCs/>
          <w:b/>
        </w:rPr>
        <w:t xml:space="preserve">Brisbane</w:t>
      </w:r>
      <w:r>
        <w:rPr>
          <w:bCs/>
          <w:b/>
        </w:rPr>
        <w:t xml:space="preserve"> </w:t>
      </w:r>
      <w:r>
        <w:rPr>
          <w:bCs/>
          <w:b/>
        </w:rPr>
        <w:t xml:space="preserve">2032</w:t>
      </w:r>
      <w:r>
        <w:rPr>
          <w:bCs/>
          <w:b/>
        </w:rPr>
        <w:t xml:space="preserve"> </w:t>
      </w:r>
      <w:r>
        <w:rPr>
          <w:bCs/>
          <w:b/>
        </w:rPr>
        <w:t xml:space="preserve">Shortlist</w:t>
      </w:r>
      <w:r>
        <w:br/>
      </w:r>
      <w:r>
        <w:t xml:space="preserve">HiMCM</w:t>
      </w:r>
      <w:r>
        <w:t xml:space="preserve"> </w:t>
      </w:r>
      <w:r>
        <w:t xml:space="preserve">2024</w:t>
      </w:r>
      <w:r>
        <w:t xml:space="preserve"> </w:t>
      </w:r>
      <w:r>
        <w:t xml:space="preserve">Problem</w:t>
      </w:r>
      <w:r>
        <w:t xml:space="preserve"> </w:t>
      </w:r>
      <w:r>
        <w:t xml:space="preserve">A</w:t>
      </w:r>
      <w:r>
        <w:t xml:space="preserve"> </w:t>
      </w:r>
      <w:r>
        <w:t xml:space="preserve">—</w:t>
      </w:r>
      <w:r>
        <w:t xml:space="preserve"> </w:t>
      </w:r>
      <w:r>
        <w:t xml:space="preserve">Team</w:t>
      </w:r>
      <w:r>
        <w:t xml:space="preserve"> </w:t>
      </w:r>
      <w:r>
        <w:t xml:space="preserve">GoHiMCM</w:t>
      </w:r>
    </w:p>
    <w:p>
      <w:pPr>
        <w:pStyle w:val="FirstParagraph"/>
      </w:pPr>
      <w:r>
        <w:rPr>
          <w:bCs/>
          <w:b/>
        </w:rPr>
        <w:t xml:space="preserve">Summary</w:t>
      </w:r>
    </w:p>
    <w:p>
      <w:pPr>
        <w:pStyle w:val="BodyText"/>
      </w:pPr>
      <w:r>
        <w:t xml:space="preserve">The International Olympic Committee (IOC) must keep the Summer programme finite while</w:t>
      </w:r>
      <w:r>
        <w:t xml:space="preserve"> </w:t>
      </w:r>
      <w:r>
        <w:t xml:space="preserve">remaining popular, gender-balanced, inclusive, sustainable, and relevant to youth.</w:t>
      </w:r>
      <w:r>
        <w:t xml:space="preserve"> </w:t>
      </w:r>
      <w:r>
        <w:t xml:space="preserve">We operationalize those six policy headings as seven measurable leaves, elicit a locked</w:t>
      </w:r>
      <w:r>
        <w:t xml:space="preserve"> </w:t>
      </w:r>
      <w:r>
        <w:t xml:space="preserve">Analytic Hierarchy Process (AHP) priority vector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0.10</m:t>
          </m:r>
          <m:r>
            <m:rPr>
              <m:sty m:val="p"/>
            </m:rPr>
            <m:t>,</m:t>
          </m:r>
          <m:r>
            <m:t> </m:t>
          </m:r>
          <m:r>
            <m:t>0.08</m:t>
          </m:r>
          <m:r>
            <m:rPr>
              <m:sty m:val="p"/>
            </m:rPr>
            <m:t>,</m:t>
          </m:r>
          <m:r>
            <m:t> </m:t>
          </m:r>
          <m:r>
            <m:t>0.18</m:t>
          </m:r>
          <m:r>
            <m:rPr>
              <m:sty m:val="p"/>
            </m:rPr>
            <m:t>,</m:t>
          </m:r>
          <m:r>
            <m:t> </m:t>
          </m:r>
          <m:r>
            <m:t>0.16</m:t>
          </m:r>
          <m:r>
            <m:rPr>
              <m:sty m:val="p"/>
            </m:rPr>
            <m:t>,</m:t>
          </m:r>
          <m:r>
            <m:t> </m:t>
          </m:r>
          <m:r>
            <m:t>0.22</m:t>
          </m:r>
          <m:r>
            <m:rPr>
              <m:sty m:val="p"/>
            </m:rPr>
            <m:t>,</m:t>
          </m:r>
          <m:r>
            <m:t> </m:t>
          </m:r>
          <m:r>
            <m:t>0.12</m:t>
          </m:r>
          <m:r>
            <m:rPr>
              <m:sty m:val="p"/>
            </m:rPr>
            <m:t>,</m:t>
          </m:r>
          <m:r>
            <m:t> </m:t>
          </m:r>
          <m:r>
            <m:t>0.14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Appearances</m:t>
        </m:r>
        <m:r>
          <m:rPr>
            <m:sty m:val="p"/>
          </m:rPr>
          <m:t>,</m:t>
        </m:r>
        <m:r>
          <m:t> </m:t>
        </m:r>
        <m:r>
          <m:rPr>
            <m:nor/>
            <m:sty m:val="p"/>
          </m:rPr>
          <m:t>Events_Count</m:t>
        </m:r>
        <m:r>
          <m:rPr>
            <m:sty m:val="p"/>
          </m:rPr>
          <m:t>,</m:t>
        </m:r>
        <m:r>
          <m:t> </m:t>
        </m:r>
        <m:r>
          <m:rPr>
            <m:nor/>
            <m:sty m:val="p"/>
          </m:rPr>
          <m:t>GLOBAL_REACH</m:t>
        </m:r>
        <m:r>
          <m:rPr>
            <m:sty m:val="p"/>
          </m:rPr>
          <m:t>,</m:t>
        </m:r>
        <m:r>
          <m:t> </m:t>
        </m:r>
        <m:r>
          <m:rPr>
            <m:nor/>
            <m:sty m:val="p"/>
          </m:rPr>
          <m:t>GENDER_PARITY</m:t>
        </m:r>
        <m:r>
          <m:rPr>
            <m:sty m:val="p"/>
          </m:rPr>
          <m:t>,</m:t>
        </m:r>
        <m:r>
          <m:t> </m:t>
        </m:r>
        <m:r>
          <m:rPr>
            <m:nor/>
            <m:sty m:val="p"/>
          </m:rPr>
          <m:t>YOUTH_APPEAL</m:t>
        </m:r>
        <m:r>
          <m:rPr>
            <m:sty m:val="p"/>
          </m:rPr>
          <m:t>,</m:t>
        </m:r>
        <m:r>
          <m:t> </m:t>
        </m:r>
        <m:r>
          <m:rPr>
            <m:nor/>
            <m:sty m:val="p"/>
          </m:rPr>
          <m:t>INFRA_COST</m:t>
        </m:r>
        <m:r>
          <m:rPr>
            <m:sty m:val="p"/>
          </m:rPr>
          <m:t>,</m:t>
        </m:r>
        <m:r>
          <m:t> </m:t>
        </m:r>
        <m:r>
          <m:rPr>
            <m:nor/>
            <m:sty m:val="p"/>
          </m:rPr>
          <m:t>BROADCAST_VAL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score alternatives by benefit/cost min-max normalization plus a simple additive</w:t>
      </w:r>
      <w:r>
        <w:t xml:space="preserve"> </w:t>
      </w:r>
      <w:r>
        <w:t xml:space="preserve">weighting (SAW) sum. The comparison matrix is built from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, so the</w:t>
      </w:r>
      <w:r>
        <w:t xml:space="preserve"> </w:t>
      </w:r>
      <w:r>
        <w:t xml:space="preserve">consistency ratio is identically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On a nine-sport historical panel the composite ranking in</w:t>
      </w:r>
      <w:r>
        <w:t xml:space="preserve"> </w:t>
      </w:r>
      <w:r>
        <w:rPr>
          <w:rStyle w:val="VerbatimChar"/>
        </w:rPr>
        <w:t xml:space="preserve">results/historical_ranking.csv</w:t>
      </w:r>
      <w:r>
        <w:t xml:space="preserve"> </w:t>
      </w:r>
      <w:r>
        <w:t xml:space="preserve">is</w:t>
      </w:r>
      <w:r>
        <w:t xml:space="preserve"> </w:t>
      </w:r>
      <w:r>
        <w:t xml:space="preserve">Skateboarding</w:t>
      </w:r>
      <w:r>
        <w:t xml:space="preserve"> </w:t>
      </w:r>
      <m:oMath>
        <m:r>
          <m:t>0.6879</m:t>
        </m:r>
      </m:oMath>
      <w:r>
        <w:t xml:space="preserve">, Breaking</w:t>
      </w:r>
      <w:r>
        <w:t xml:space="preserve"> </w:t>
      </w:r>
      <m:oMath>
        <m:r>
          <m:t>0.6560</m:t>
        </m:r>
      </m:oMath>
      <w:r>
        <w:t xml:space="preserve">, Athletics</w:t>
      </w:r>
      <w:r>
        <w:t xml:space="preserve"> </w:t>
      </w:r>
      <m:oMath>
        <m:r>
          <m:t>0.6350</m:t>
        </m:r>
      </m:oMath>
      <w:r>
        <w:t xml:space="preserve">,</w:t>
      </w:r>
      <w:r>
        <w:t xml:space="preserve"> </w:t>
      </w:r>
      <w:r>
        <w:t xml:space="preserve">Swimming</w:t>
      </w:r>
      <w:r>
        <w:t xml:space="preserve"> </w:t>
      </w:r>
      <m:oMath>
        <m:r>
          <m:t>0.6279</m:t>
        </m:r>
      </m:oMath>
      <w:r>
        <w:t xml:space="preserve">, Surfing</w:t>
      </w:r>
      <w:r>
        <w:t xml:space="preserve"> </w:t>
      </w:r>
      <m:oMath>
        <m:r>
          <m:t>0.5997</m:t>
        </m:r>
      </m:oMath>
      <w:r>
        <w:t xml:space="preserve">, Karate</w:t>
      </w:r>
      <w:r>
        <w:t xml:space="preserve"> </w:t>
      </w:r>
      <m:oMath>
        <m:r>
          <m:t>0.5675</m:t>
        </m:r>
      </m:oMath>
      <w:r>
        <w:t xml:space="preserve">, then the three</w:t>
      </w:r>
      <w:r>
        <w:t xml:space="preserve"> </w:t>
      </w:r>
      <w:r>
        <w:t xml:space="preserve">2032-labelled rows. Recent urban additions outrank the one-Games karate experiment,</w:t>
      </w:r>
      <w:r>
        <w:t xml:space="preserve"> </w:t>
      </w:r>
      <w:r>
        <w:t xml:space="preserve">which matches the direction of IOC youth-and-city programming after Tokyo 2020.</w:t>
      </w:r>
    </w:p>
    <w:p>
      <w:pPr>
        <w:pStyle w:val="BodyText"/>
      </w:pPr>
      <w:r>
        <w:t xml:space="preserve">Restricting the same locked weights to the Brisbane candidate file yields</w:t>
      </w:r>
      <w:r>
        <w:t xml:space="preserve"> </w:t>
      </w:r>
      <w:r>
        <w:t xml:space="preserve">Flag football first (</w:t>
      </w:r>
      <m:oMath>
        <m:r>
          <m:t>0.5360</m:t>
        </m:r>
      </m:oMath>
      <w:r>
        <w:t xml:space="preserve">), Cricket second (</w:t>
      </w:r>
      <m:oMath>
        <m:r>
          <m:t>0.4842</m:t>
        </m:r>
      </m:oMath>
      <w:r>
        <w:t xml:space="preserve">), Squash third</w:t>
      </w:r>
      <w:r>
        <w:t xml:space="preserve"> </w:t>
      </w:r>
      <w:r>
        <w:t xml:space="preserve">(</w:t>
      </w:r>
      <m:oMath>
        <m:r>
          <m:t>0.3960</m:t>
        </m:r>
      </m:oMath>
      <w:r>
        <w:t xml:space="preserve">). One-at-a-time</w:t>
      </w:r>
      <w:r>
        <w:t xml:space="preserve"> </w:t>
      </w:r>
      <m:oMath>
        <m:r>
          <m:rPr>
            <m:sty m:val="p"/>
          </m:rPr>
          <m:t>±</m:t>
        </m:r>
        <m:r>
          <m:t>20</m:t>
        </m:r>
        <m:r>
          <m:rPr>
            <m:sty m:val="p"/>
          </m:rPr>
          <m:t>%</m:t>
        </m:r>
      </m:oMath>
      <w:r>
        <w:t xml:space="preserve"> </w:t>
      </w:r>
      <w:r>
        <w:t xml:space="preserve">shocks of the six grouped criteria never</w:t>
      </w:r>
      <w:r>
        <w:t xml:space="preserve"> </w:t>
      </w:r>
      <w:r>
        <w:t xml:space="preserve">change that medal order. Setting the youth-appeal weight to zero does: Squash</w:t>
      </w:r>
      <w:r>
        <w:t xml:space="preserve"> </w:t>
      </w:r>
      <w:r>
        <w:t xml:space="preserve">becomes first and Flag football falls to third. On the full nine-row matrix the same</w:t>
      </w:r>
      <w:r>
        <w:t xml:space="preserve"> </w:t>
      </w:r>
      <w:r>
        <w:t xml:space="preserve">zero-youth shock lifts Athletics and Swimming to ranks 1–2 and drops Breaking from 2</w:t>
      </w:r>
      <w:r>
        <w:t xml:space="preserve"> </w:t>
      </w:r>
      <w:r>
        <w:t xml:space="preserve">to 8. The recommendation is therefore conditional: Flag football leads under the</w:t>
      </w:r>
      <w:r>
        <w:t xml:space="preserve"> </w:t>
      </w:r>
      <w:r>
        <w:t xml:space="preserve">stated youth-weighted policy; it is not robust to removing that policy.</w:t>
      </w:r>
    </w:p>
    <w:bookmarkStart w:id="23" w:name="sec:intro"/>
    <w:p>
      <w:pPr>
        <w:pStyle w:val="Heading1"/>
      </w:pPr>
      <w:r>
        <w:t xml:space="preserve">Introduction and Factor Operationalization</w:t>
      </w:r>
    </w:p>
    <w:bookmarkStart w:id="20" w:name="problem-and-tasks"/>
    <w:p>
      <w:pPr>
        <w:pStyle w:val="Heading2"/>
      </w:pPr>
      <w:r>
        <w:t xml:space="preserve">Problem and tasks</w:t>
      </w:r>
    </w:p>
    <w:p>
      <w:pPr>
        <w:pStyle w:val="FirstParagraph"/>
      </w:pPr>
      <w:r>
        <w:t xml:space="preserve">HiMCM 2024 Problem A asks which additional sports, disciplines, or events (SDEs)</w:t>
      </w:r>
      <w:r>
        <w:t xml:space="preserve"> </w:t>
      </w:r>
      <w:r>
        <w:t xml:space="preserve">belong on a future Olympic programme. We map the five written tasks onto six paper</w:t>
      </w:r>
      <w:r>
        <w:t xml:space="preserve"> </w:t>
      </w:r>
      <w:r>
        <w:t xml:space="preserve">sections: factor design (this section), the AHP–SAW architecture (Section </w:t>
      </w:r>
      <w:hyperlink w:anchor="sec:model">
        <w:r>
          <w:rPr>
            <w:rStyle w:val="Hyperlink"/>
          </w:rPr>
          <w:t xml:space="preserve">2</w:t>
        </w:r>
      </w:hyperlink>
      <w:r>
        <w:t xml:space="preserve">),</w:t>
      </w:r>
      <w:r>
        <w:t xml:space="preserve"> </w:t>
      </w:r>
      <w:r>
        <w:t xml:space="preserve">historical validation (Section </w:t>
      </w:r>
      <w:hyperlink w:anchor="sec:hist">
        <w:r>
          <w:rPr>
            <w:rStyle w:val="Hyperlink"/>
          </w:rPr>
          <w:t xml:space="preserve">3</w:t>
        </w:r>
      </w:hyperlink>
      <w:r>
        <w:t xml:space="preserve">), a Brisbane 2032 shortlist</w:t>
      </w:r>
      <w:r>
        <w:t xml:space="preserve"> </w:t>
      </w:r>
      <w:r>
        <w:t xml:space="preserve">(Section </w:t>
      </w:r>
      <w:hyperlink w:anchor="sec:bris">
        <w:r>
          <w:rPr>
            <w:rStyle w:val="Hyperlink"/>
          </w:rPr>
          <w:t xml:space="preserve">4</w:t>
        </w:r>
      </w:hyperlink>
      <w:r>
        <w:t xml:space="preserve">), weight-shock robustness (Section </w:t>
      </w:r>
      <w:hyperlink w:anchor="sec:sens">
        <w:r>
          <w:rPr>
            <w:rStyle w:val="Hyperlink"/>
          </w:rPr>
          <w:t xml:space="preserve">5</w:t>
        </w:r>
      </w:hyperlink>
      <w:r>
        <w:t xml:space="preserve">), and</w:t>
      </w:r>
      <w:r>
        <w:t xml:space="preserve"> </w:t>
      </w:r>
      <w:r>
        <w:t xml:space="preserve">limits of the study (Section </w:t>
      </w:r>
      <w:hyperlink w:anchor="sec:lim">
        <w:r>
          <w:rPr>
            <w:rStyle w:val="Hyperlink"/>
          </w:rPr>
          <w:t xml:space="preserve">6</w:t>
        </w:r>
      </w:hyperlink>
      <w:r>
        <w:t xml:space="preserve">).</w:t>
      </w:r>
    </w:p>
    <w:bookmarkEnd w:id="20"/>
    <w:bookmarkStart w:id="21" w:name="six-ioc-headings-seven-leaves"/>
    <w:p>
      <w:pPr>
        <w:pStyle w:val="Heading2"/>
      </w:pPr>
      <w:r>
        <w:t xml:space="preserve">Six IOC headings, seven leaves</w:t>
      </w:r>
    </w:p>
    <w:p>
      <w:pPr>
        <w:pStyle w:val="FirstParagraph"/>
      </w:pPr>
      <w:r>
        <w:t xml:space="preserve">The IOC’s public language on the Summer programme clusters around six headings.</w:t>
      </w:r>
      <w:r>
        <w:t xml:space="preserve"> </w:t>
      </w:r>
      <w:r>
        <w:t xml:space="preserve">We do not invent a sixth numerical</w:t>
      </w:r>
      <w:r>
        <w:t xml:space="preserve"> </w:t>
      </w:r>
      <w:r>
        <w:t xml:space="preserve">“</w:t>
      </w:r>
      <w:r>
        <w:t xml:space="preserve">fairness</w:t>
      </w:r>
      <w:r>
        <w:t xml:space="preserve">”</w:t>
      </w:r>
      <w:r>
        <w:t xml:space="preserve"> </w:t>
      </w:r>
      <w:r>
        <w:t xml:space="preserve">column that the processed tables do</w:t>
      </w:r>
      <w:r>
        <w:t xml:space="preserve"> </w:t>
      </w:r>
      <w:r>
        <w:t xml:space="preserve">not contain. Instead we attach each heading to leaves that already exist in</w:t>
      </w:r>
      <w:r>
        <w:t xml:space="preserve"> </w:t>
      </w:r>
      <w:r>
        <w:rPr>
          <w:rStyle w:val="VerbatimChar"/>
        </w:rPr>
        <w:t xml:space="preserve">data/processed/sde_matrix.csv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brisbane_candidates.csv</w:t>
      </w:r>
      <w:r>
        <w:t xml:space="preserve">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IOC heading</w:t>
            </w:r>
          </w:p>
        </w:tc>
        <w:tc>
          <w:p>
            <w:pPr>
              <w:pStyle w:val="Compact"/>
              <w:jc w:val="left"/>
            </w:pPr>
            <w:r>
              <w:t xml:space="preserve">Leaf code(s)</w:t>
            </w:r>
          </w:p>
        </w:tc>
        <w:tc>
          <w:p>
            <w:pPr>
              <w:pStyle w:val="Compact"/>
              <w:jc w:val="left"/>
            </w:pPr>
            <w:r>
              <w:t xml:space="preserve">Sense</w:t>
            </w:r>
          </w:p>
        </w:tc>
        <w:tc>
          <w:p>
            <w:pPr>
              <w:pStyle w:val="Compact"/>
              <w:jc w:val="left"/>
            </w:pPr>
            <w:r>
              <w:t xml:space="preserve">Operational meaning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Popularity and accessibility</w:t>
            </w:r>
          </w:p>
        </w:tc>
        <w:tc>
          <w:p>
            <w:pPr>
              <w:pStyle w:val="Compact"/>
              <w:jc w:val="left"/>
            </w:pPr>
            <w:r>
              <w:t xml:space="preserve">Appearances, BROADCAST_VAL</w:t>
            </w:r>
          </w:p>
        </w:tc>
        <w:tc>
          <w:p>
            <w:pPr>
              <w:pStyle w:val="Compact"/>
              <w:jc w:val="left"/>
            </w:pPr>
            <w:r>
              <w:t xml:space="preserve">benefit</w:t>
            </w:r>
          </w:p>
        </w:tc>
        <w:tc>
          <w:p>
            <w:pPr>
              <w:pStyle w:val="Compact"/>
              <w:jc w:val="left"/>
            </w:pPr>
            <w:r>
              <w:t xml:space="preserve">Games on the programme; broadcast/commercial pull (Saaty 1–9, broadcast up to 10</w:t>
            </w:r>
            <w:r>
              <w:t xml:space="preserve"> </w:t>
            </w:r>
            <w:r>
              <w:t xml:space="preserve">on the Brisbane scenario)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Programme footprint</w:t>
            </w:r>
          </w:p>
        </w:tc>
        <w:tc>
          <w:p>
            <w:pPr>
              <w:pStyle w:val="Compact"/>
              <w:jc w:val="left"/>
            </w:pPr>
            <w:r>
              <w:t xml:space="preserve">Events_Count</w:t>
            </w:r>
          </w:p>
        </w:tc>
        <w:tc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p>
            <w:pPr>
              <w:pStyle w:val="Compact"/>
              <w:jc w:val="left"/>
            </w:pPr>
            <w:r>
              <w:t xml:space="preserve">Medal-event load of the latest programmed Games (capacity pressure)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Inclusivity</w:t>
            </w:r>
          </w:p>
        </w:tc>
        <w:tc>
          <w:p>
            <w:pPr>
              <w:pStyle w:val="Compact"/>
              <w:jc w:val="left"/>
            </w:pPr>
            <w:r>
              <w:t xml:space="preserve">GLOBAL_REACH</w:t>
            </w:r>
          </w:p>
        </w:tc>
        <w:tc>
          <w:p>
            <w:pPr>
              <w:pStyle w:val="Compact"/>
              <w:jc w:val="left"/>
            </w:pPr>
            <w:r>
              <w:t xml:space="preserve">benefit</w:t>
            </w:r>
          </w:p>
        </w:tc>
        <w:tc>
          <w:p>
            <w:pPr>
              <w:pStyle w:val="Compact"/>
              <w:jc w:val="left"/>
            </w:pPr>
            <w:r>
              <w:t xml:space="preserve">International federation member-nation 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Gender equity</w:t>
            </w:r>
          </w:p>
        </w:tc>
        <w:tc>
          <w:p>
            <w:pPr>
              <w:pStyle w:val="Compact"/>
              <w:jc w:val="left"/>
            </w:pPr>
            <w:r>
              <w:t xml:space="preserve">GENDER_PARITY</w:t>
            </w:r>
          </w:p>
        </w:tc>
        <w:tc>
          <w:p>
            <w:pPr>
              <w:pStyle w:val="Compact"/>
              <w:jc w:val="left"/>
            </w:pPr>
            <w:r>
              <w:t xml:space="preserve">benefit</w:t>
            </w:r>
          </w:p>
        </w:tc>
        <w:tc>
          <w:p>
            <w:pPr>
              <w:pStyle w:val="Compact"/>
              <w:jc w:val="left"/>
            </w:pPr>
            <w:r>
              <w:t xml:space="preserve">Female participation share, percent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]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Relevance and innovation</w:t>
            </w:r>
          </w:p>
        </w:tc>
        <w:tc>
          <w:p>
            <w:pPr>
              <w:pStyle w:val="Compact"/>
              <w:jc w:val="left"/>
            </w:pPr>
            <w:r>
              <w:t xml:space="preserve">YOUTH_APPEAL</w:t>
            </w:r>
          </w:p>
        </w:tc>
        <w:tc>
          <w:p>
            <w:pPr>
              <w:pStyle w:val="Compact"/>
              <w:jc w:val="left"/>
            </w:pPr>
            <w:r>
              <w:t xml:space="preserve">benefit</w:t>
            </w:r>
          </w:p>
        </w:tc>
        <w:tc>
          <w:p>
            <w:pPr>
              <w:pStyle w:val="Compact"/>
              <w:jc w:val="left"/>
            </w:pPr>
            <w:r>
              <w:t xml:space="preserve">Youth/urban relevance, Saaty 1–9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Sustainability</w:t>
            </w:r>
          </w:p>
        </w:tc>
        <w:tc>
          <w:p>
            <w:pPr>
              <w:pStyle w:val="Compact"/>
              <w:jc w:val="left"/>
            </w:pPr>
            <w:r>
              <w:t xml:space="preserve">INFRA_COST</w:t>
            </w:r>
          </w:p>
        </w:tc>
        <w:tc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p>
            <w:pPr>
              <w:pStyle w:val="Compact"/>
              <w:jc w:val="left"/>
            </w:pPr>
            <w:r>
              <w:t xml:space="preserve">Dedicated-venue burden, Saaty 1–9</w:t>
            </w:r>
          </w:p>
        </w:tc>
      </w:tr>
    </w:tbl>
    <w:p>
      <w:pPr>
        <w:pStyle w:val="BodyText"/>
      </w:pPr>
      <w:r>
        <w:t xml:space="preserve">Appearances and Events_Count come only from the contest workbook</w:t>
      </w:r>
      <w:r>
        <w:t xml:space="preserve"> </w:t>
      </w:r>
      <w:r>
        <w:rPr>
          <w:rStyle w:val="VerbatimChar"/>
        </w:rPr>
        <w:t xml:space="preserve">HiMCM_Olympic_Data.xlsx</w:t>
      </w:r>
      <w:r>
        <w:t xml:space="preserve">. Reach, gender, youth, infrastructure, and broadcast</w:t>
      </w:r>
      <w:r>
        <w:t xml:space="preserve"> </w:t>
      </w:r>
      <w:r>
        <w:t xml:space="preserve">leaves for the historical panel come from the sourced research file</w:t>
      </w:r>
      <w:r>
        <w:t xml:space="preserve"> </w:t>
      </w:r>
      <w:r>
        <w:rPr>
          <w:rStyle w:val="VerbatimChar"/>
        </w:rPr>
        <w:t xml:space="preserve">data/raw/sde_factors_research.csv</w:t>
      </w:r>
      <w:r>
        <w:t xml:space="preserve">. The Brisbane three-sport block overwrites</w:t>
      </w:r>
      <w:r>
        <w:t xml:space="preserve"> </w:t>
      </w:r>
      <w:r>
        <w:t xml:space="preserve">those five leaves with a locked host scenario, and records an extra column</w:t>
      </w:r>
      <w:r>
        <w:t xml:space="preserve"> </w:t>
      </w:r>
      <w:r>
        <w:rPr>
          <w:rStyle w:val="VerbatimChar"/>
        </w:rPr>
        <w:t xml:space="preserve">HOST_POPULARITY</w:t>
      </w:r>
      <w:r>
        <w:t xml:space="preserve"> </w:t>
      </w:r>
      <w:r>
        <w:t xml:space="preserve">that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inside the AHP vector; it is stored for</w:t>
      </w:r>
      <w:r>
        <w:t xml:space="preserve"> </w:t>
      </w:r>
      <w:r>
        <w:t xml:space="preserve">later host-fit work and is unused in every score quoted below.</w:t>
      </w:r>
    </w:p>
    <w:bookmarkEnd w:id="21"/>
    <w:bookmarkStart w:id="22" w:name="assumptions"/>
    <w:p>
      <w:pPr>
        <w:pStyle w:val="Heading2"/>
      </w:pPr>
      <w:r>
        <w:t xml:space="preserve">Assumptions</w:t>
      </w:r>
    </w:p>
    <w:p>
      <w:pPr>
        <w:numPr>
          <w:ilvl w:val="0"/>
          <w:numId w:val="1001"/>
        </w:numPr>
      </w:pPr>
      <w:r>
        <w:t xml:space="preserve">Programme value is representable by a complete ranking of SDEs on the seven</w:t>
      </w:r>
      <w:r>
        <w:t xml:space="preserve"> </w:t>
      </w:r>
      <w:r>
        <w:t xml:space="preserve">leaves above; unmeasured integrity, safety, and athlete-pathway issues are</w:t>
      </w:r>
      <w:r>
        <w:t xml:space="preserve"> </w:t>
      </w:r>
      <w:r>
        <w:t xml:space="preserve">discussed as limitations, not filled with synthetic scores.</w:t>
      </w:r>
    </w:p>
    <w:p>
      <w:pPr>
        <w:numPr>
          <w:ilvl w:val="0"/>
          <w:numId w:val="1001"/>
        </w:numPr>
      </w:pPr>
      <w:r>
        <w:t xml:space="preserve">Benefit leaves should be large; cost leaves (event load, infrastructure) should</w:t>
      </w:r>
      <w:r>
        <w:t xml:space="preserve"> </w:t>
      </w:r>
      <w:r>
        <w:t xml:space="preserve">be small.</w:t>
      </w:r>
    </w:p>
    <w:p>
      <w:pPr>
        <w:numPr>
          <w:ilvl w:val="0"/>
          <w:numId w:val="1001"/>
        </w:numPr>
      </w:pPr>
      <w:r>
        <w:t xml:space="preserve">Team AHP priorities are fixed for the whole paper. Sensitivity changes those</w:t>
      </w:r>
      <w:r>
        <w:t xml:space="preserve"> </w:t>
      </w:r>
      <w:r>
        <w:t xml:space="preserve">weights after the fact; it does not re-elicit pairwise opinions.</w:t>
      </w:r>
    </w:p>
    <w:p>
      <w:pPr>
        <w:numPr>
          <w:ilvl w:val="0"/>
          <w:numId w:val="1001"/>
        </w:numPr>
      </w:pPr>
      <w:r>
        <w:t xml:space="preserve">Min-max normalization is taken inside the set of alternatives being ranked.</w:t>
      </w:r>
      <w:r>
        <w:t xml:space="preserve"> </w:t>
      </w:r>
      <w:r>
        <w:t xml:space="preserve">The nine-row historical panel and the three-row Brisbane panel are therefore</w:t>
      </w:r>
      <w:r>
        <w:t xml:space="preserve"> </w:t>
      </w:r>
      <w:r>
        <w:t xml:space="preserve">different scoring universes and must not be mixed into one league table.</w:t>
      </w:r>
    </w:p>
    <w:p>
      <w:pPr>
        <w:numPr>
          <w:ilvl w:val="0"/>
          <w:numId w:val="1001"/>
        </w:numPr>
      </w:pPr>
      <w:r>
        <w:t xml:space="preserve">Karate is treated as a marginal/exit case because it was programmed at Tokyo</w:t>
      </w:r>
      <w:r>
        <w:t xml:space="preserve"> </w:t>
      </w:r>
      <w:r>
        <w:t xml:space="preserve">2020 and is absent from the 2024/2028 medal programme in the workbook; that is</w:t>
      </w:r>
      <w:r>
        <w:t xml:space="preserve"> </w:t>
      </w:r>
      <w:r>
        <w:t xml:space="preserve">a back-test label, not a claim about karate’s global merit.</w:t>
      </w:r>
    </w:p>
    <w:bookmarkEnd w:id="22"/>
    <w:bookmarkEnd w:id="23"/>
    <w:bookmarkStart w:id="26" w:name="sec:model"/>
    <w:p>
      <w:pPr>
        <w:pStyle w:val="Heading1"/>
      </w:pPr>
      <w:r>
        <w:t xml:space="preserve">Model Architecture</w:t>
      </w:r>
    </w:p>
    <w:bookmarkStart w:id="24" w:name="ahp-weights"/>
    <w:p>
      <w:pPr>
        <w:pStyle w:val="Heading2"/>
      </w:pPr>
      <w:r>
        <w:t xml:space="preserve">AHP weights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positive reciprocal matrix,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 Saaty’s eigenvalue method takes the Perron pair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rPr>
                <m:nor/>
                <m:sty m:val="p"/>
              </m:rPr>
              <m:t>max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w</m:t>
          </m:r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rPr>
                  <m:nor/>
                  <m:sty m:val="p"/>
                </m:rPr>
                <m:t>max</m:t>
              </m:r>
            </m:sub>
          </m:sSub>
          <m:r>
            <m:t>w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Consistency uses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λ</m:t>
                  </m:r>
                </m:e>
                <m:sub>
                  <m:r>
                    <m:rPr>
                      <m:nor/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 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&gt;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</m:t>
          </m:r>
          <m:r>
            <m:rPr>
              <m:sty m:val="p"/>
            </m:rP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I</m:t>
              </m:r>
            </m:num>
            <m:den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Saaty’s random index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1.32</m:t>
        </m:r>
      </m:oMath>
      <w:r>
        <w:t xml:space="preserve">. The decision rule is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&lt;</m:t>
        </m:r>
        <m:r>
          <m:t>0.10</m:t>
        </m:r>
      </m:oMath>
      <w:r>
        <w:t xml:space="preserve">.</w:t>
      </w:r>
    </w:p>
    <w:p>
      <w:pPr>
        <w:pStyle w:val="BodyText"/>
      </w:pPr>
      <w:r>
        <w:t xml:space="preserve">The team does not fill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ad hoc 1–9 clicks. We lock the priority vector</w:t>
      </w:r>
      <w:r>
        <w:t xml:space="preserve"> </w:t>
      </w:r>
      <w:r>
        <w:t xml:space="preserve">written in Section 1 of the Summary and set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Any such outer-ratio matrix is consistent: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=</m:t>
        </m:r>
        <m:r>
          <m:t>0</m:t>
        </m:r>
      </m:oMath>
      <w:r>
        <w:t xml:space="preserve">. The file</w:t>
      </w:r>
      <w:r>
        <w:t xml:space="preserve"> </w:t>
      </w:r>
      <w:r>
        <w:rPr>
          <w:rStyle w:val="VerbatimChar"/>
        </w:rPr>
        <w:t xml:space="preserve">data/raw/ahp_judgment_locked.csv</w:t>
      </w:r>
      <w:r>
        <w:t xml:space="preserve"> </w:t>
      </w:r>
      <w:r>
        <w:t xml:space="preserve">is that matrix.</w:t>
      </w:r>
      <w:r>
        <w:t xml:space="preserve"> </w:t>
      </w:r>
      <w:r>
        <w:t xml:space="preserve">Youth appeal receives the largest mass (</w:t>
      </w:r>
      <m:oMath>
        <m:r>
          <m:t>0.22</m:t>
        </m:r>
      </m:oMath>
      <w:r>
        <w:t xml:space="preserve">), then global reach (</w:t>
      </w:r>
      <m:oMath>
        <m:r>
          <m:t>0.18</m:t>
        </m:r>
      </m:oMath>
      <w:r>
        <w:t xml:space="preserve">) and</w:t>
      </w:r>
      <w:r>
        <w:t xml:space="preserve"> </w:t>
      </w:r>
      <w:r>
        <w:t xml:space="preserve">gender parity (</w:t>
      </w:r>
      <m:oMath>
        <m:r>
          <m:t>0.16</m:t>
        </m:r>
      </m:oMath>
      <w:r>
        <w:t xml:space="preserve">), reflecting Agenda 2020 language on youth and universality</w:t>
      </w:r>
      <w:r>
        <w:t xml:space="preserve"> </w:t>
      </w:r>
      <w:r>
        <w:t xml:space="preserve">rather than maximizing historical appearances.</w:t>
      </w:r>
    </w:p>
    <w:bookmarkEnd w:id="24"/>
    <w:bookmarkStart w:id="25" w:name="range-normalization-and-saw"/>
    <w:p>
      <w:pPr>
        <w:pStyle w:val="Heading2"/>
      </w:pPr>
      <w:r>
        <w:t xml:space="preserve">Range normalization and SAW</w:t>
      </w:r>
    </w:p>
    <w:p>
      <w:pPr>
        <w:pStyle w:val="FirstParagraph"/>
      </w:pPr>
      <w:r>
        <w:t xml:space="preserve">For alternative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leaf</w:t>
      </w:r>
      <w:r>
        <w:t xml:space="preserve"> </w:t>
      </w:r>
      <m:oMath>
        <m:r>
          <m:t>j</m:t>
        </m:r>
      </m:oMath>
      <w:r>
        <w:t xml:space="preserve">, write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the raw value. Let</w:t>
      </w:r>
      <w:r>
        <w:t xml:space="preserve"> </w:t>
      </w:r>
      <m:oMath>
        <m:sSub>
          <m:e>
            <m:r>
              <m:t>m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min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 </w:t>
      </w:r>
      <w:r>
        <w:t xml:space="preserve">as in the scoring</w:t>
      </w:r>
      <w:r>
        <w:t xml:space="preserve"> </w:t>
      </w:r>
      <w:r>
        <w:t xml:space="preserve">code. Benefit and cost maps are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1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num>
                  <m:den>
                    <m:sSub>
                      <m:e>
                        <m:r>
                          <m:t>M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ε</m:t>
                    </m:r>
                  </m:den>
                </m:f>
              </m:e>
              <m:e/>
              <m:e>
                <m:r>
                  <m:rPr>
                    <m:nor/>
                    <m:sty m:val="p"/>
                  </m:rPr>
                  <m:t>(benefit)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M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num>
                  <m:den>
                    <m:sSub>
                      <m:e>
                        <m:r>
                          <m:t>M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ε</m:t>
                    </m:r>
                  </m:den>
                </m:f>
              </m:e>
              <m:e/>
              <m:e>
                <m:r>
                  <m:rPr>
                    <m:nor/>
                    <m:sty m:val="p"/>
                  </m:rPr>
                  <m:t>(cost)</m:t>
                </m:r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The composite score 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rank is the descending order of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(ties take the minimum rank).</w:t>
      </w:r>
      <w:r>
        <w:t xml:space="preserve"> </w:t>
      </w:r>
      <w:r>
        <w:t xml:space="preserve">All reported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taken from the CSV exports of this pipeline; none are typed</w:t>
      </w:r>
      <w:r>
        <w:t xml:space="preserve"> </w:t>
      </w:r>
      <w:r>
        <w:t xml:space="preserve">by hand from a calculator.</w:t>
      </w:r>
    </w:p>
    <w:bookmarkEnd w:id="25"/>
    <w:bookmarkEnd w:id="26"/>
    <w:bookmarkStart w:id="31" w:name="sec:hist"/>
    <w:p>
      <w:pPr>
        <w:pStyle w:val="Heading1"/>
      </w:pPr>
      <w:r>
        <w:t xml:space="preserve">Historical Validation</w:t>
      </w:r>
    </w:p>
    <w:p>
      <w:pPr>
        <w:pStyle w:val="FirstParagraph"/>
      </w:pPr>
      <w:r>
        <w:t xml:space="preserve">Table </w:t>
      </w:r>
      <w:hyperlink w:anchor="tab:his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copies</w:t>
      </w:r>
      <w:r>
        <w:t xml:space="preserve"> </w:t>
      </w:r>
      <w:r>
        <w:rPr>
          <w:rStyle w:val="VerbatimChar"/>
        </w:rPr>
        <w:t xml:space="preserve">results/historical_ranking.csv</w:t>
      </w:r>
      <w:r>
        <w:t xml:space="preserve">. Categories are</w:t>
      </w:r>
      <w:r>
        <w:t xml:space="preserve"> </w:t>
      </w:r>
      <w:r>
        <w:t xml:space="preserve">the back-test roles used in the evaluation script: long-standing core (Athletics,</w:t>
      </w:r>
      <w:r>
        <w:t xml:space="preserve"> </w:t>
      </w:r>
      <w:r>
        <w:t xml:space="preserve">Swimming), recent additions (Skateboarding, Breaking, Surfing), a marginal exit</w:t>
      </w:r>
      <w:r>
        <w:t xml:space="preserve"> </w:t>
      </w:r>
      <w:r>
        <w:t xml:space="preserve">(Karate), and three rows tagged as 2032 candidates. Composite scores are printed to</w:t>
      </w:r>
      <w:r>
        <w:t xml:space="preserve"> </w:t>
      </w:r>
      <w:r>
        <w:t xml:space="preserve">four decimals, matching the contest-report convention; the CSV stores full floats.</w:t>
      </w:r>
    </w:p>
    <w:bookmarkStart w:id="27" w:name="tab:hist"/>
    <w:p>
      <w:pPr>
        <w:pStyle w:val="TableCaption"/>
      </w:pPr>
      <w:r>
        <w:t xml:space="preserve">Historical SDE ranking from</w:t>
      </w:r>
      <w:r>
        <w:t xml:space="preserve"> </w:t>
      </w:r>
      <w:r>
        <w:rPr>
          <w:rStyle w:val="VerbatimChar"/>
        </w:rPr>
        <w:t xml:space="preserve">historical_ranking.csv</w:t>
      </w:r>
      <w:r>
        <w:t xml:space="preserve"> </w:t>
      </w:r>
      <w:r>
        <w:t xml:space="preserve">(nine-row min-max, locked AHP).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Historical SDE ranking from historical_ranking.csv (nine-row min-max, locked AHP)."/>
      </w:tblPr>
      <w:tblGrid/>
      <w:tr>
        <w:tc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p>
            <w:pPr>
              <w:pStyle w:val="Compact"/>
              <w:jc w:val="left"/>
            </w:pPr>
            <w:r>
              <w:t xml:space="preserve">SDE</w:t>
            </w:r>
          </w:p>
        </w:tc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right"/>
            </w:pPr>
            <w:r>
              <w:t xml:space="preserve">Appear.</w:t>
            </w:r>
          </w:p>
        </w:tc>
        <w:tc>
          <w:p>
            <w:pPr>
              <w:pStyle w:val="Compact"/>
              <w:jc w:val="right"/>
            </w:pPr>
            <w:r>
              <w:t xml:space="preserve">Events</w:t>
            </w:r>
          </w:p>
        </w:tc>
        <w:tc>
          <w:p>
            <w:pPr>
              <w:pStyle w:val="Compact"/>
              <w:jc w:val="right"/>
            </w:pPr>
            <w:r>
              <w:t xml:space="preserve">Reach</w:t>
            </w:r>
          </w:p>
        </w:tc>
        <w:tc>
          <w:p>
            <w:pPr>
              <w:pStyle w:val="Compact"/>
              <w:jc w:val="right"/>
            </w:pP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oMath>
          </w:p>
        </w:tc>
      </w:tr>
      <w:tr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Skateboarding</w:t>
            </w:r>
          </w:p>
        </w:tc>
        <w:tc>
          <w:p>
            <w:pPr>
              <w:pStyle w:val="Compact"/>
              <w:jc w:val="left"/>
            </w:pPr>
            <w:r>
              <w:t xml:space="preserve">recent add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right"/>
            </w:pPr>
            <w:r>
              <w:t xml:space="preserve">116</w:t>
            </w:r>
          </w:p>
        </w:tc>
        <w:tc>
          <w:p>
            <w:pPr>
              <w:pStyle w:val="Compact"/>
              <w:jc w:val="right"/>
            </w:pPr>
            <w:r>
              <w:t xml:space="preserve">0.6879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Breaking</w:t>
            </w:r>
          </w:p>
        </w:tc>
        <w:tc>
          <w:p>
            <w:pPr>
              <w:pStyle w:val="Compact"/>
              <w:jc w:val="left"/>
            </w:pPr>
            <w:r>
              <w:t xml:space="preserve">recent add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p>
            <w:pPr>
              <w:pStyle w:val="Compact"/>
              <w:jc w:val="right"/>
            </w:pPr>
            <w:r>
              <w:t xml:space="preserve">0.6560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Athletics</w:t>
            </w:r>
          </w:p>
        </w:tc>
        <w:tc>
          <w:p>
            <w:pPr>
              <w:pStyle w:val="Compact"/>
              <w:jc w:val="left"/>
            </w:pPr>
            <w:r>
              <w:t xml:space="preserve">legacy core</w:t>
            </w:r>
          </w:p>
        </w:tc>
        <w:tc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p>
            <w:pPr>
              <w:pStyle w:val="Compact"/>
              <w:jc w:val="right"/>
            </w:pPr>
            <w:r>
              <w:t xml:space="preserve">214</w:t>
            </w:r>
          </w:p>
        </w:tc>
        <w:tc>
          <w:p>
            <w:pPr>
              <w:pStyle w:val="Compact"/>
              <w:jc w:val="right"/>
            </w:pPr>
            <w:r>
              <w:t xml:space="preserve">0.6350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Swimming</w:t>
            </w:r>
          </w:p>
        </w:tc>
        <w:tc>
          <w:p>
            <w:pPr>
              <w:pStyle w:val="Compact"/>
              <w:jc w:val="left"/>
            </w:pPr>
            <w:r>
              <w:t xml:space="preserve">legacy core</w:t>
            </w:r>
          </w:p>
        </w:tc>
        <w:tc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p>
            <w:pPr>
              <w:pStyle w:val="Compact"/>
              <w:jc w:val="right"/>
            </w:pPr>
            <w:r>
              <w:t xml:space="preserve">209</w:t>
            </w:r>
          </w:p>
        </w:tc>
        <w:tc>
          <w:p>
            <w:pPr>
              <w:pStyle w:val="Compact"/>
              <w:jc w:val="right"/>
            </w:pPr>
            <w:r>
              <w:t xml:space="preserve">0.6279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Surfing</w:t>
            </w:r>
          </w:p>
        </w:tc>
        <w:tc>
          <w:p>
            <w:pPr>
              <w:pStyle w:val="Compact"/>
              <w:jc w:val="left"/>
            </w:pPr>
            <w:r>
              <w:t xml:space="preserve">recent add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p>
            <w:pPr>
              <w:pStyle w:val="Compact"/>
              <w:jc w:val="right"/>
            </w:pPr>
            <w:r>
              <w:t xml:space="preserve">0.5997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Karate</w:t>
            </w:r>
          </w:p>
        </w:tc>
        <w:tc>
          <w:p>
            <w:pPr>
              <w:pStyle w:val="Compact"/>
              <w:jc w:val="left"/>
            </w:pPr>
            <w:r>
              <w:t xml:space="preserve">marginal exit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p>
            <w:pPr>
              <w:pStyle w:val="Compact"/>
              <w:jc w:val="right"/>
            </w:pPr>
            <w:r>
              <w:t xml:space="preserve">0.5675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Flag football</w:t>
            </w:r>
          </w:p>
        </w:tc>
        <w:tc>
          <w:p>
            <w:pPr>
              <w:pStyle w:val="Compact"/>
              <w:jc w:val="left"/>
            </w:pPr>
            <w:r>
              <w:t xml:space="preserve">2032 tag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p>
            <w:pPr>
              <w:pStyle w:val="Compact"/>
              <w:jc w:val="right"/>
            </w:pPr>
            <w:r>
              <w:t xml:space="preserve">0.5183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Squash</w:t>
            </w:r>
          </w:p>
        </w:tc>
        <w:tc>
          <w:p>
            <w:pPr>
              <w:pStyle w:val="Compact"/>
              <w:jc w:val="left"/>
            </w:pPr>
            <w:r>
              <w:t xml:space="preserve">2032 tag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122</w:t>
            </w:r>
          </w:p>
        </w:tc>
        <w:tc>
          <w:p>
            <w:pPr>
              <w:pStyle w:val="Compact"/>
              <w:jc w:val="right"/>
            </w:pPr>
            <w:r>
              <w:t xml:space="preserve">0.3826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Cricket</w:t>
            </w:r>
          </w:p>
        </w:tc>
        <w:tc>
          <w:p>
            <w:pPr>
              <w:pStyle w:val="Compact"/>
              <w:jc w:val="left"/>
            </w:pPr>
            <w:r>
              <w:t xml:space="preserve">2032 tag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p>
            <w:pPr>
              <w:pStyle w:val="Compact"/>
              <w:jc w:val="right"/>
            </w:pPr>
            <w:r>
              <w:t xml:space="preserve">0.2646</w:t>
            </w:r>
          </w:p>
        </w:tc>
      </w:tr>
    </w:tbl>
    <w:bookmarkEnd w:id="27"/>
    <w:p>
      <w:pPr>
        <w:pStyle w:val="BodyText"/>
      </w:pPr>
      <w:r>
        <w:t xml:space="preserve">Figure </w:t>
      </w:r>
      <w:hyperlink w:anchor="fig:his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is the 300 dpi bar chart exported by the same run.</w:t>
      </w:r>
    </w:p>
    <w:p>
      <w:pPr>
        <w:pStyle w:val="CaptionedFigure"/>
      </w:pPr>
      <w:bookmarkStart w:id="29" w:name="fig:hist"/>
      <w:r>
        <w:drawing>
          <wp:inline>
            <wp:extent cx="5334000" cy="2821769"/>
            <wp:effectExtent b="0" l="0" r="0" t="0"/>
            <wp:docPr descr="Locked-AHP historical back-test. Blue: legacy core; green: recent additions; orange: marginal/exit; gold: 2032-tagged rows. Source: paper_figures/fig_historical_backtest.png." title="" id="1" name="Picture"/>
            <a:graphic>
              <a:graphicData uri="http://schemas.openxmlformats.org/drawingml/2006/picture">
                <pic:pic>
                  <pic:nvPicPr>
                    <pic:cNvPr descr="fig_historical_backtes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1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Locked-AHP historical back-test. Blue: legacy core; green: recent additions;</w:t>
      </w:r>
      <w:r>
        <w:t xml:space="preserve"> </w:t>
      </w:r>
      <w:r>
        <w:t xml:space="preserve">orange: marginal/exit; gold: 2032-tagged rows. Source:</w:t>
      </w:r>
      <w:r>
        <w:t xml:space="preserve"> </w:t>
      </w:r>
      <w:r>
        <w:rPr>
          <w:rStyle w:val="VerbatimChar"/>
        </w:rPr>
        <w:t xml:space="preserve">paper_figures/fig_historical_backtest.png</w:t>
      </w:r>
      <w:r>
        <w:t xml:space="preserve">.</w:t>
      </w:r>
    </w:p>
    <w:bookmarkStart w:id="30" w:name="reading-the-back-test."/>
    <w:p>
      <w:pPr>
        <w:pStyle w:val="Heading4"/>
      </w:pPr>
      <w:r>
        <w:t xml:space="preserve">Reading the back-test.</w:t>
      </w:r>
    </w:p>
    <w:p>
      <w:pPr>
        <w:pStyle w:val="FirstParagraph"/>
      </w:pPr>
      <w:r>
        <w:t xml:space="preserve">Mean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three recent additions is</w:t>
      </w:r>
      <w:r>
        <w:t xml:space="preserve"> </w:t>
      </w:r>
      <m:oMath>
        <m:r>
          <m:t>0.6479</m:t>
        </m:r>
      </m:oMath>
      <w:r>
        <w:t xml:space="preserve">; the two legacy core sports</w:t>
      </w:r>
      <w:r>
        <w:t xml:space="preserve"> </w:t>
      </w:r>
      <w:r>
        <w:t xml:space="preserve">average</w:t>
      </w:r>
      <w:r>
        <w:t xml:space="preserve"> </w:t>
      </w:r>
      <m:oMath>
        <m:r>
          <m:t>0.6314</m:t>
        </m:r>
      </m:oMath>
      <w:r>
        <w:t xml:space="preserve">; Karate sits at</w:t>
      </w:r>
      <w:r>
        <w:t xml:space="preserve"> </w:t>
      </w:r>
      <m:oMath>
        <m:r>
          <m:t>0.5675</m:t>
        </m:r>
      </m:oMath>
      <w:r>
        <w:t xml:space="preserve">. High youth scores (9) and low</w:t>
      </w:r>
      <w:r>
        <w:t xml:space="preserve"> </w:t>
      </w:r>
      <w:r>
        <w:t xml:space="preserve">infrastructure cost (2–4) lift skateboarding and breaking above karate despite</w:t>
      </w:r>
      <w:r>
        <w:t xml:space="preserve"> </w:t>
      </w:r>
      <w:r>
        <w:t xml:space="preserve">karate’s much larger federation reach (198). Athletics and swimming remain in the</w:t>
      </w:r>
      <w:r>
        <w:t xml:space="preserve"> </w:t>
      </w:r>
      <w:r>
        <w:t xml:space="preserve">top four because of appearances, reach, and broadcast, which is consistent with</w:t>
      </w:r>
      <w:r>
        <w:t xml:space="preserve"> </w:t>
      </w:r>
      <w:r>
        <w:t xml:space="preserve">their uninterrupted presence on the programme. The ordering is a directional check</w:t>
      </w:r>
      <w:r>
        <w:t xml:space="preserve"> </w:t>
      </w:r>
      <w:r>
        <w:t xml:space="preserve">against IOC youth-and-city decisions after 2020; it is not a causal proof, and the</w:t>
      </w:r>
      <w:r>
        <w:t xml:space="preserve"> </w:t>
      </w:r>
      <w:r>
        <w:t xml:space="preserve">three 2032-tagged rows in this table use the historical research leaves (for</w:t>
      </w:r>
      <w:r>
        <w:t xml:space="preserve"> </w:t>
      </w:r>
      <w:r>
        <w:t xml:space="preserve">example cricket gender</w:t>
      </w:r>
      <w:r>
        <w:t xml:space="preserve"> </w:t>
      </w:r>
      <m:oMath>
        <m:r>
          <m:t>42</m:t>
        </m:r>
      </m:oMath>
      <w:r>
        <w:t xml:space="preserve"> </w:t>
      </w:r>
      <w:r>
        <w:t xml:space="preserve">and youth</w:t>
      </w:r>
      <w:r>
        <w:t xml:space="preserve"> </w:t>
      </w:r>
      <m:oMath>
        <m:r>
          <m:t>5</m:t>
        </m:r>
      </m:oMath>
      <w:r>
        <w:t xml:space="preserve">), not the later Brisbane scenario</w:t>
      </w:r>
      <w:r>
        <w:t xml:space="preserve"> </w:t>
      </w:r>
      <w:r>
        <w:t xml:space="preserve">file.</w:t>
      </w:r>
    </w:p>
    <w:bookmarkEnd w:id="30"/>
    <w:bookmarkEnd w:id="31"/>
    <w:bookmarkStart w:id="47" w:name="sec:bris"/>
    <w:p>
      <w:pPr>
        <w:pStyle w:val="Heading1"/>
      </w:pPr>
      <w:r>
        <w:t xml:space="preserve">Brisbane 2032 Forecast</w:t>
      </w:r>
    </w:p>
    <w:p>
      <w:pPr>
        <w:pStyle w:val="FirstParagraph"/>
      </w:pPr>
      <w:r>
        <w:t xml:space="preserve">Table </w:t>
      </w:r>
      <w:hyperlink w:anchor="tab:bri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results/brisbane_2032_ranking.csv</w:t>
      </w:r>
      <w:r>
        <w:t xml:space="preserve">: the same</w:t>
      </w:r>
      <w:r>
        <w:t xml:space="preserve"> </w:t>
      </w:r>
      <m:oMath>
        <m:r>
          <m:t>w</m:t>
        </m:r>
      </m:oMath>
      <w:r>
        <w:t xml:space="preserve">, but min-max taken only among Cricket, Squash, and Flag football, with the</w:t>
      </w:r>
      <w:r>
        <w:t xml:space="preserve"> </w:t>
      </w:r>
      <w:r>
        <w:t xml:space="preserve">Brisbane host-scenario leaves.</w:t>
      </w:r>
    </w:p>
    <w:bookmarkStart w:id="32" w:name="tab:bris"/>
    <w:p>
      <w:pPr>
        <w:pStyle w:val="TableCaption"/>
      </w:pPr>
      <w:r>
        <w:t xml:space="preserve">Brisbane 2032 three-candidate ranking from</w:t>
      </w:r>
      <w:r>
        <w:t xml:space="preserve"> </w:t>
      </w:r>
      <w:r>
        <w:rPr>
          <w:rStyle w:val="VerbatimChar"/>
        </w:rPr>
        <w:t xml:space="preserve">brisbane_2032_ranking.csv</w:t>
      </w:r>
      <w:r>
        <w:t xml:space="preserve">.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Brisbane 2032 three-candidate ranking from brisbane_2032_ranking.csv."/>
      </w:tblPr>
      <w:tblGrid/>
      <w:tr>
        <w:tc>
          <w:p>
            <w:pPr>
              <w:pStyle w:val="Compact"/>
              <w:jc w:val="left"/>
            </w:pPr>
            <w:r>
              <w:t xml:space="preserve">Place</w:t>
            </w:r>
          </w:p>
        </w:tc>
        <w:tc>
          <w:p>
            <w:pPr>
              <w:pStyle w:val="Compact"/>
              <w:jc w:val="left"/>
            </w:pPr>
            <w:r>
              <w:t xml:space="preserve">SDE</w:t>
            </w:r>
          </w:p>
        </w:tc>
        <w:tc>
          <w:p>
            <w:pPr>
              <w:pStyle w:val="Compact"/>
              <w:jc w:val="left"/>
            </w:pPr>
            <w:r>
              <w:t xml:space="preserve">Role in script</w:t>
            </w:r>
          </w:p>
        </w:tc>
        <w:tc>
          <w:p>
            <w:pPr>
              <w:pStyle w:val="Compact"/>
              <w:jc w:val="right"/>
            </w:pPr>
            <w:r>
              <w:t xml:space="preserve">Reach</w:t>
            </w:r>
          </w:p>
        </w:tc>
        <w:tc>
          <w:p>
            <w:pPr>
              <w:pStyle w:val="Compact"/>
              <w:jc w:val="right"/>
            </w:pPr>
            <w:r>
              <w:t xml:space="preserve">Gender</w:t>
            </w:r>
          </w:p>
        </w:tc>
        <w:tc>
          <w:p>
            <w:pPr>
              <w:pStyle w:val="Compact"/>
              <w:jc w:val="right"/>
            </w:pPr>
            <w:r>
              <w:t xml:space="preserve">Youth</w:t>
            </w:r>
          </w:p>
        </w:tc>
        <w:tc>
          <w:p>
            <w:pPr>
              <w:pStyle w:val="Compact"/>
              <w:jc w:val="right"/>
            </w:pPr>
            <w:r>
              <w:t xml:space="preserve">Infra</w:t>
            </w:r>
          </w:p>
        </w:tc>
        <w:tc>
          <w:p>
            <w:pPr>
              <w:pStyle w:val="Compact"/>
              <w:jc w:val="right"/>
            </w:pP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1st</w:t>
            </w:r>
          </w:p>
        </w:tc>
        <w:tc>
          <w:p>
            <w:pPr>
              <w:pStyle w:val="Compact"/>
              <w:jc w:val="left"/>
            </w:pPr>
            <w:r>
              <w:t xml:space="preserve">Flag football</w:t>
            </w:r>
          </w:p>
        </w:tc>
        <w:tc>
          <w:p>
            <w:pPr>
              <w:pStyle w:val="Compact"/>
              <w:jc w:val="left"/>
            </w:pPr>
            <w:r>
              <w:t xml:space="preserve">emerging youth</w:t>
            </w:r>
          </w:p>
        </w:tc>
        <w:tc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p>
            <w:pPr>
              <w:pStyle w:val="Compact"/>
              <w:jc w:val="right"/>
            </w:pPr>
            <w:r>
              <w:t xml:space="preserve">50.0</w:t>
            </w:r>
          </w:p>
        </w:tc>
        <w:tc>
          <w:p>
            <w:pPr>
              <w:pStyle w:val="Compact"/>
              <w:jc w:val="right"/>
            </w:pPr>
            <w:r>
              <w:t xml:space="preserve">8.5</w:t>
            </w:r>
          </w:p>
        </w:tc>
        <w:tc>
          <w:p>
            <w:pPr>
              <w:pStyle w:val="Compact"/>
              <w:jc w:val="right"/>
            </w:pPr>
            <w:r>
              <w:t xml:space="preserve">3.5</w:t>
            </w:r>
          </w:p>
        </w:tc>
        <w:tc>
          <w:p>
            <w:pPr>
              <w:pStyle w:val="Compact"/>
              <w:jc w:val="right"/>
            </w:pPr>
            <w:r>
              <w:t xml:space="preserve">0.5360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2nd</w:t>
            </w:r>
          </w:p>
        </w:tc>
        <w:tc>
          <w:p>
            <w:pPr>
              <w:pStyle w:val="Compact"/>
              <w:jc w:val="left"/>
            </w:pPr>
            <w:r>
              <w:t xml:space="preserve">Cricket</w:t>
            </w:r>
          </w:p>
        </w:tc>
        <w:tc>
          <w:p>
            <w:pPr>
              <w:pStyle w:val="Compact"/>
              <w:jc w:val="left"/>
            </w:pPr>
            <w:r>
              <w:t xml:space="preserve">traditional host</w:t>
            </w:r>
          </w:p>
        </w:tc>
        <w:tc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p>
            <w:pPr>
              <w:pStyle w:val="Compact"/>
              <w:jc w:val="right"/>
            </w:pPr>
            <w:r>
              <w:t xml:space="preserve">45.0</w:t>
            </w:r>
          </w:p>
        </w:tc>
        <w:tc>
          <w:p>
            <w:pPr>
              <w:pStyle w:val="Compact"/>
              <w:jc w:val="right"/>
            </w:pPr>
            <w:r>
              <w:t xml:space="preserve">8.0</w:t>
            </w:r>
          </w:p>
        </w:tc>
        <w:tc>
          <w:p>
            <w:pPr>
              <w:pStyle w:val="Compact"/>
              <w:jc w:val="right"/>
            </w:pPr>
            <w:r>
              <w:t xml:space="preserve">5.5</w:t>
            </w:r>
          </w:p>
        </w:tc>
        <w:tc>
          <w:p>
            <w:pPr>
              <w:pStyle w:val="Compact"/>
              <w:jc w:val="right"/>
            </w:pPr>
            <w:r>
              <w:t xml:space="preserve">0.4842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3rd</w:t>
            </w:r>
          </w:p>
        </w:tc>
        <w:tc>
          <w:p>
            <w:pPr>
              <w:pStyle w:val="Compact"/>
              <w:jc w:val="left"/>
            </w:pPr>
            <w:r>
              <w:t xml:space="preserve">Squash</w:t>
            </w:r>
          </w:p>
        </w:tc>
        <w:tc>
          <w:p>
            <w:pPr>
              <w:pStyle w:val="Compact"/>
              <w:jc w:val="left"/>
            </w:pPr>
            <w:r>
              <w:t xml:space="preserve">established niche</w:t>
            </w:r>
          </w:p>
        </w:tc>
        <w:tc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p>
            <w:pPr>
              <w:pStyle w:val="Compact"/>
              <w:jc w:val="right"/>
            </w:pPr>
            <w:r>
              <w:t xml:space="preserve">48.0</w:t>
            </w:r>
          </w:p>
        </w:tc>
        <w:tc>
          <w:p>
            <w:pPr>
              <w:pStyle w:val="Compact"/>
              <w:jc w:val="right"/>
            </w:pPr>
            <w:r>
              <w:t xml:space="preserve">6.5</w:t>
            </w:r>
          </w:p>
        </w:tc>
        <w:tc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p>
            <w:pPr>
              <w:pStyle w:val="Compact"/>
              <w:jc w:val="right"/>
            </w:pPr>
            <w:r>
              <w:t xml:space="preserve">0.3960</w:t>
            </w:r>
          </w:p>
        </w:tc>
      </w:tr>
    </w:tbl>
    <w:bookmarkEnd w:id="32"/>
    <w:bookmarkStart w:id="33" w:name="why-first-flag-football."/>
    <w:p>
      <w:pPr>
        <w:pStyle w:val="Heading4"/>
      </w:pPr>
      <w:r>
        <w:t xml:space="preserve">Why first: Flag football.</w:t>
      </w:r>
    </w:p>
    <w:p>
      <w:pPr>
        <w:pStyle w:val="FirstParagraph"/>
      </w:pPr>
      <w:r>
        <w:t xml:space="preserve">It records the best gender share (</w:t>
      </w:r>
      <m:oMath>
        <m:r>
          <m:t>50</m:t>
        </m:r>
      </m:oMath>
      <w:r>
        <w:t xml:space="preserve">) and the best youth score (</w:t>
      </w:r>
      <m:oMath>
        <m:r>
          <m:t>8.5</m:t>
        </m:r>
      </m:oMath>
      <w:r>
        <w:t xml:space="preserve">) in the</w:t>
      </w:r>
      <w:r>
        <w:t xml:space="preserve"> </w:t>
      </w:r>
      <w:r>
        <w:t xml:space="preserve">trio, with a moderate infrastructure mark (</w:t>
      </w:r>
      <m:oMath>
        <m:r>
          <m:t>3.5</m:t>
        </m:r>
      </m:oMath>
      <w:r>
        <w:t xml:space="preserve">). Under a weight vector that</w:t>
      </w:r>
      <w:r>
        <w:t xml:space="preserve"> </w:t>
      </w:r>
      <w:r>
        <w:t xml:space="preserve">puts</w:t>
      </w:r>
      <w:r>
        <w:t xml:space="preserve"> </w:t>
      </w:r>
      <m:oMath>
        <m:r>
          <m:t>0.22</m:t>
        </m:r>
      </m:oMath>
      <w:r>
        <w:t xml:space="preserve"> </w:t>
      </w:r>
      <w:r>
        <w:t xml:space="preserve">on youth and</w:t>
      </w:r>
      <w:r>
        <w:t xml:space="preserve"> </w:t>
      </w:r>
      <m:oMath>
        <m:r>
          <m:t>0.16</m:t>
        </m:r>
      </m:oMath>
      <w:r>
        <w:t xml:space="preserve"> </w:t>
      </w:r>
      <w:r>
        <w:t xml:space="preserve">on gender, those leaves dominate the small</w:t>
      </w:r>
      <w:r>
        <w:t xml:space="preserve"> </w:t>
      </w:r>
      <w:r>
        <w:t xml:space="preserve">membership count (</w:t>
      </w:r>
      <m:oMath>
        <m:r>
          <m:t>75</m:t>
        </m:r>
      </m:oMath>
      <w:r>
        <w:t xml:space="preserve">).</w:t>
      </w:r>
    </w:p>
    <w:bookmarkEnd w:id="33"/>
    <w:bookmarkStart w:id="34" w:name="why-second-cricket."/>
    <w:p>
      <w:pPr>
        <w:pStyle w:val="Heading4"/>
      </w:pPr>
      <w:r>
        <w:t xml:space="preserve">Why second: Cricket.</w:t>
      </w:r>
    </w:p>
    <w:p>
      <w:pPr>
        <w:pStyle w:val="FirstParagraph"/>
      </w:pPr>
      <w:r>
        <w:t xml:space="preserve">It is the only candidate with two recorded Olympic appearances in the workbook and</w:t>
      </w:r>
      <w:r>
        <w:t xml:space="preserve"> </w:t>
      </w:r>
      <w:r>
        <w:t xml:space="preserve">the strongest broadcast leaf (</w:t>
      </w:r>
      <m:oMath>
        <m:r>
          <m:t>9.5</m:t>
        </m:r>
      </m:oMath>
      <w:r>
        <w:t xml:space="preserve">). Reach (</w:t>
      </w:r>
      <m:oMath>
        <m:r>
          <m:t>108</m:t>
        </m:r>
      </m:oMath>
      <w:r>
        <w:t xml:space="preserve">) sits between the other two.</w:t>
      </w:r>
      <w:r>
        <w:t xml:space="preserve"> </w:t>
      </w:r>
      <w:r>
        <w:t xml:space="preserve">The model does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add the stored host-popularity</w:t>
      </w:r>
      <w:r>
        <w:t xml:space="preserve"> </w:t>
      </w:r>
      <m:oMath>
        <m:r>
          <m:t>9.8</m:t>
        </m:r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; any</w:t>
      </w:r>
      <w:r>
        <w:t xml:space="preserve"> </w:t>
      </w:r>
      <w:r>
        <w:t xml:space="preserve">“</w:t>
      </w:r>
      <w:r>
        <w:t xml:space="preserve">Brisbane loves cricket</w:t>
      </w:r>
      <w:r>
        <w:t xml:space="preserve">”</w:t>
      </w:r>
      <w:r>
        <w:t xml:space="preserve"> </w:t>
      </w:r>
      <w:r>
        <w:t xml:space="preserve">argument is extra-model.</w:t>
      </w:r>
    </w:p>
    <w:bookmarkEnd w:id="34"/>
    <w:bookmarkStart w:id="35" w:name="why-third-squash."/>
    <w:p>
      <w:pPr>
        <w:pStyle w:val="Heading4"/>
      </w:pPr>
      <w:r>
        <w:t xml:space="preserve">Why third: Squash.</w:t>
      </w:r>
    </w:p>
    <w:p>
      <w:pPr>
        <w:pStyle w:val="FirstParagraph"/>
      </w:pPr>
      <w:r>
        <w:t xml:space="preserve">It wins inclusivity (reach</w:t>
      </w:r>
      <w:r>
        <w:t xml:space="preserve"> </w:t>
      </w:r>
      <m:oMath>
        <m:r>
          <m:t>150</m:t>
        </m:r>
      </m:oMath>
      <w:r>
        <w:t xml:space="preserve">) and has the lightest infrastructure score</w:t>
      </w:r>
      <w:r>
        <w:t xml:space="preserve"> </w:t>
      </w:r>
      <w:r>
        <w:t xml:space="preserve">(</w:t>
      </w:r>
      <m:oMath>
        <m:r>
          <m:t>3.0</m:t>
        </m:r>
      </m:oMath>
      <w:r>
        <w:t xml:space="preserve">), but the youth leaf (</w:t>
      </w:r>
      <m:oMath>
        <m:r>
          <m:t>6.5</m:t>
        </m:r>
      </m:oMath>
      <w:r>
        <w:t xml:space="preserve">) is the weakest of the three. With youth as</w:t>
      </w:r>
      <w:r>
        <w:t xml:space="preserve"> </w:t>
      </w:r>
      <w:r>
        <w:t xml:space="preserve">the largest AHP mass, that deficit is enough to finish last in the baseline.</w:t>
      </w:r>
    </w:p>
    <w:p>
      <w:pPr>
        <w:pStyle w:val="BodyText"/>
      </w:pPr>
      <w:r>
        <w:t xml:space="preserve">These three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values are not comparable to Table </w:t>
      </w:r>
      <w:hyperlink w:anchor="tab:hist">
        <w:r>
          <w:rPr>
            <w:rStyle w:val="Hyperlink"/>
          </w:rPr>
          <w:t xml:space="preserve">1</w:t>
        </w:r>
      </w:hyperlink>
      <w:r>
        <w:t xml:space="preserve">: the</w:t>
      </w:r>
      <w:r>
        <w:t xml:space="preserve"> </w:t>
      </w:r>
      <w:r>
        <w:t xml:space="preserve">normalization windows differ, and several Brisbane leaves differ from the historical</w:t>
      </w:r>
      <w:r>
        <w:t xml:space="preserve"> </w:t>
      </w:r>
      <w:r>
        <w:t xml:space="preserve">research file.</w:t>
      </w:r>
    </w:p>
    <w:bookmarkEnd w:id="35"/>
    <w:bookmarkStart w:id="46" w:name="X50898456cbb7fc10199f81ac82158c09371f300"/>
    <w:p>
      <w:pPr>
        <w:pStyle w:val="Heading2"/>
      </w:pPr>
      <w:r>
        <w:t xml:space="preserve">Machine Learning Cross-Validation and Probability Prediction</w:t>
      </w:r>
    </w:p>
    <w:p>
      <w:pPr>
        <w:pStyle w:val="FirstParagraph"/>
      </w:pPr>
      <w:bookmarkStart w:id="36" w:name="sec:ml-validation"/>
      <w:r>
        <w:t xml:space="preserve">[sec:ml-validation]</w:t>
      </w:r>
      <w:bookmarkEnd w:id="36"/>
    </w:p>
    <w:p>
      <w:pPr>
        <w:pStyle w:val="BodyText"/>
      </w:pPr>
      <w:r>
        <w:t xml:space="preserve">We treat the locked AHP–SAW ranking as a</w:t>
      </w:r>
      <w:r>
        <w:t xml:space="preserve"> </w:t>
      </w:r>
      <w:r>
        <w:rPr>
          <w:iCs/>
          <w:i/>
        </w:rPr>
        <w:t xml:space="preserve">normative</w:t>
      </w:r>
      <w:r>
        <w:t xml:space="preserve"> </w:t>
      </w:r>
      <w:r>
        <w:t xml:space="preserve">score (what the team</w:t>
      </w:r>
      <w:r>
        <w:t xml:space="preserve"> </w:t>
      </w:r>
      <w:r>
        <w:t xml:space="preserve">values) and the L2 logistic model as a</w:t>
      </w:r>
      <w:r>
        <w:t xml:space="preserve"> </w:t>
      </w:r>
      <w:r>
        <w:rPr>
          <w:iCs/>
          <w:i/>
        </w:rPr>
        <w:t xml:space="preserve">descriptive</w:t>
      </w:r>
      <w:r>
        <w:t xml:space="preserve"> </w:t>
      </w:r>
      <w:r>
        <w:t xml:space="preserve">inclusion probability</w:t>
      </w:r>
      <w:r>
        <w:t xml:space="preserve"> </w:t>
      </w:r>
      <w:r>
        <w:t xml:space="preserve">(what a tiny labelled history of stay-versus-exit can support). The two exercises</w:t>
      </w:r>
      <w:r>
        <w:t xml:space="preserve"> </w:t>
      </w:r>
      <w:r>
        <w:t xml:space="preserve">share the same six IOC leaves; the classifier also includes inertia features that</w:t>
      </w:r>
      <w:r>
        <w:t xml:space="preserve"> </w:t>
      </w:r>
      <w:r>
        <w:t xml:space="preserve">are dropped before comparing</w:t>
      </w:r>
      <w:r>
        <w:t xml:space="preserve"> </w:t>
      </w:r>
      <m:oMath>
        <m:r>
          <m:rPr>
            <m:sty m:val="p"/>
          </m:rPr>
          <m:t>|</m:t>
        </m:r>
        <m:r>
          <m:t>β</m:t>
        </m:r>
        <m:r>
          <m:rPr>
            <m:sty m:val="p"/>
          </m:rPr>
          <m:t>|</m:t>
        </m:r>
      </m:oMath>
      <w:r>
        <w:t xml:space="preserve"> </w:t>
      </w:r>
      <w:r>
        <w:t xml:space="preserve">with AHP. All figures and tables in this</w:t>
      </w:r>
      <w:r>
        <w:t xml:space="preserve"> </w:t>
      </w:r>
      <w:r>
        <w:t xml:space="preserve">section are written from</w:t>
      </w:r>
      <w:r>
        <w:t xml:space="preserve"> </w:t>
      </w:r>
      <w:r>
        <w:rPr>
          <w:rStyle w:val="VerbatimChar"/>
        </w:rPr>
        <w:t xml:space="preserve">results/*.csv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src/ml/plot_and_report.py</w:t>
      </w:r>
      <w:r>
        <w:t xml:space="preserve">.</w:t>
      </w:r>
    </w:p>
    <w:bookmarkStart w:id="37" w:name="leave-one-out-diagnostics"/>
    <w:p>
      <w:pPr>
        <w:pStyle w:val="Heading3"/>
      </w:pPr>
      <w:r>
        <w:t xml:space="preserve">Leave-one-out diagnostics</w:t>
      </w:r>
    </w:p>
    <w:p>
      <w:pPr>
        <w:pStyle w:val="FirstParagraph"/>
      </w:pPr>
      <w:r>
        <w:t xml:space="preserve">On the sourced labelled panel (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: four stay cases and two one-Games exits)</w:t>
      </w:r>
      <w:r>
        <w:t xml:space="preserve"> </w:t>
      </w:r>
      <w:r>
        <w:t xml:space="preserve">leave-one-out logistic predictions yield</w:t>
      </w:r>
      <w:r>
        <w:t xml:space="preserve"> </w:t>
      </w:r>
      <w:r>
        <w:t xml:space="preserve">accuracy</w:t>
      </w:r>
      <w:r>
        <w:t xml:space="preserve"> </w:t>
      </w:r>
      <m:oMath>
        <m:r>
          <m:rPr>
            <m:sty m:val="p"/>
          </m:rPr>
          <m:t>=</m:t>
        </m:r>
        <m:r>
          <m:t>0.3333</m:t>
        </m:r>
      </m:oMath>
      <w:r>
        <w:t xml:space="preserve">, ROC-AUC</w:t>
      </w:r>
      <w:r>
        <w:t xml:space="preserve"> </w:t>
      </w:r>
      <m:oMath>
        <m:r>
          <m:rPr>
            <m:sty m:val="p"/>
          </m:rPr>
          <m:t>=</m:t>
        </m:r>
        <m:r>
          <m:t>0.5000</m:t>
        </m:r>
      </m:oMath>
      <w:r>
        <w:t xml:space="preserve">, and Brier score</w:t>
      </w:r>
      <w:r>
        <w:t xml:space="preserve"> </w:t>
      </w:r>
      <m:oMath>
        <m:r>
          <m:rPr>
            <m:sty m:val="p"/>
          </m:rPr>
          <m:t>=</m:t>
        </m:r>
        <m:r>
          <m:t>0.2475</m:t>
        </m:r>
      </m:oMath>
      <w:r>
        <w:t xml:space="preserve"> </w:t>
      </w:r>
      <w:r>
        <w:t xml:space="preserve">(Brier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0"/>
            <m:supHide m:val="1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 constant forecast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has Brier</w:t>
      </w:r>
      <w:r>
        <w:t xml:space="preserve"> </w:t>
      </w:r>
      <m:oMath>
        <m:r>
          <m:t>0.25</m:t>
        </m:r>
      </m:oMath>
      <w:r>
        <w:t xml:space="preserve">; the observed Brier</w:t>
      </w:r>
      <w:r>
        <w:t xml:space="preserve"> </w:t>
      </w:r>
      <m:oMath>
        <m:r>
          <m:t>0.2475</m:t>
        </m:r>
      </m:oMath>
      <w:r>
        <w:t xml:space="preserve"> </w:t>
      </w:r>
      <w:r>
        <w:t xml:space="preserve">is therefore close to an uninformative baseline.</w:t>
      </w:r>
      <w:r>
        <w:t xml:space="preserve"> </w:t>
      </w:r>
      <w:r>
        <w:t xml:space="preserve">This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high LOOCV accuracy, and it does not by itself prove that the</w:t>
      </w:r>
      <w:r>
        <w:t xml:space="preserve"> </w:t>
      </w:r>
      <w:r>
        <w:t xml:space="preserve">criterion list is statistically sufficient. What it does show, honestly, is that</w:t>
      </w:r>
      <w:r>
        <w:t xml:space="preserve"> </w:t>
      </w:r>
      <w:r>
        <w:t xml:space="preserve">with six rows and eight raw columns the inclusion model is a specification check:</w:t>
      </w:r>
      <w:r>
        <w:t xml:space="preserve"> </w:t>
      </w:r>
      <w:r>
        <w:t xml:space="preserve">useful for reading</w:t>
      </w:r>
      <w:r>
        <w:t xml:space="preserve"> </w:t>
      </w:r>
      <m:oMath>
        <m:r>
          <m:rPr>
            <m:sty m:val="p"/>
          </m:rPr>
          <m:t>|</m:t>
        </m:r>
        <m:r>
          <m:t>β</m:t>
        </m:r>
        <m:r>
          <m:rPr>
            <m:sty m:val="p"/>
          </m:rPr>
          <m:t>|</m:t>
        </m:r>
      </m:oMath>
      <w:r>
        <w:t xml:space="preserve"> </w:t>
      </w:r>
      <w:r>
        <w:t xml:space="preserve">against AHP, not for claiming a validated classifier.</w:t>
      </w:r>
      <w:r>
        <w:t xml:space="preserve"> </w:t>
      </w:r>
      <w:r>
        <w:t xml:space="preserve">The random-forest LOOCV AUC on the same split is even weaker, so we keep logistic</w:t>
      </w:r>
      <w:r>
        <w:t xml:space="preserve"> </w:t>
      </w:r>
      <w:r>
        <w:t xml:space="preserve">as the interpretable primary and AHP–SAW as the decision engine.</w:t>
      </w:r>
    </w:p>
    <w:bookmarkEnd w:id="37"/>
    <w:bookmarkStart w:id="41" w:name="brisbane-2032-probabilities"/>
    <w:p>
      <w:pPr>
        <w:pStyle w:val="Heading3"/>
      </w:pPr>
      <w:r>
        <w:t xml:space="preserve">Brisbane 2032 probabilities</w:t>
      </w:r>
    </w:p>
    <w:p>
      <w:pPr>
        <w:pStyle w:val="FirstParagraph"/>
      </w:pPr>
      <w:r>
        <w:t xml:space="preserve">Table </w:t>
      </w:r>
      <w:hyperlink w:anchor="tab:ml2032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copies</w:t>
      </w:r>
      <w:r>
        <w:t xml:space="preserve"> </w:t>
      </w:r>
      <w:r>
        <w:rPr>
          <w:rStyle w:val="VerbatimChar"/>
        </w:rPr>
        <w:t xml:space="preserve">ml_prediction_2032.csv</w:t>
      </w:r>
      <w:r>
        <w:t xml:space="preserve">.</w:t>
      </w:r>
      <w:r>
        <w:t xml:space="preserve"> </w:t>
      </w:r>
      <w:r>
        <w:t xml:space="preserve">Logistic bootstrap means (</w:t>
      </w:r>
      <m:oMath>
        <m:r>
          <m:t>B</m:t>
        </m:r>
        <m:r>
          <m:rPr>
            <m:sty m:val="p"/>
          </m:rPr>
          <m:t>=</m:t>
        </m:r>
        <m:r>
          <m:t>500</m:t>
        </m:r>
      </m:oMath>
      <w:r>
        <w:t xml:space="preserve">) are Cricket</w:t>
      </w:r>
      <w:r>
        <w:t xml:space="preserve"> </w:t>
      </w:r>
      <m:oMath>
        <m:r>
          <m:t>0.7984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t>0.2689</m:t>
        </m:r>
      </m:oMath>
      <w:r>
        <w:t xml:space="preserve">–</w:t>
      </w:r>
      <m:oMath>
        <m:r>
          <m:t>0.9541</m:t>
        </m:r>
      </m:oMath>
      <w:r>
        <w:t xml:space="preserve">, tier</w:t>
      </w:r>
      <w:r>
        <w:t xml:space="preserve"> </w:t>
      </w:r>
      <w:r>
        <w:rPr>
          <w:rStyle w:val="VerbatimChar"/>
        </w:rPr>
        <w:t xml:space="preserve">high</w:t>
      </w:r>
      <w:r>
        <w:t xml:space="preserve">),</w:t>
      </w:r>
      <w:r>
        <w:t xml:space="preserve"> </w:t>
      </w:r>
      <w:r>
        <w:t xml:space="preserve">Flag football</w:t>
      </w:r>
      <w:r>
        <w:t xml:space="preserve"> </w:t>
      </w:r>
      <m:oMath>
        <m:r>
          <m:t>0.6384</m:t>
        </m:r>
      </m:oMath>
      <w:r>
        <w:t xml:space="preserve"> </w:t>
      </w:r>
      <w:r>
        <w:t xml:space="preserve">(</w:t>
      </w:r>
      <m:oMath>
        <m:r>
          <m:t>0.1158</m:t>
        </m:r>
      </m:oMath>
      <w:r>
        <w:t xml:space="preserve">–</w:t>
      </w:r>
      <m:oMath>
        <m:r>
          <m:t>0.8994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),</w:t>
      </w:r>
      <w:r>
        <w:t xml:space="preserve"> </w:t>
      </w:r>
      <w:r>
        <w:t xml:space="preserve">and Squash</w:t>
      </w:r>
      <w:r>
        <w:t xml:space="preserve"> </w:t>
      </w:r>
      <m:oMath>
        <m:r>
          <m:t>0.4215</m:t>
        </m:r>
      </m:oMath>
      <w:r>
        <w:t xml:space="preserve"> </w:t>
      </w:r>
      <w:r>
        <w:t xml:space="preserve">(</w:t>
      </w:r>
      <m:oMath>
        <m:r>
          <m:t>0.1152</m:t>
        </m:r>
      </m:oMath>
      <w:r>
        <w:t xml:space="preserve">–</w:t>
      </w:r>
      <m:oMath>
        <m:r>
          <m:t>0.7042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low</w:t>
      </w:r>
      <w:r>
        <w:t xml:space="preserve">).</w:t>
      </w:r>
      <w:r>
        <w:t xml:space="preserve"> </w:t>
      </w:r>
      <w:r>
        <w:t xml:space="preserve">Figure </w:t>
      </w:r>
      <w:hyperlink w:anchor="fig:ml2032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draws the same intervals and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0.50</m:t>
        </m:r>
      </m:oMath>
      <w:r>
        <w:t xml:space="preserve"> </w:t>
      </w:r>
      <w:r>
        <w:t xml:space="preserve">line.</w:t>
      </w:r>
      <w:r>
        <w:t xml:space="preserve"> </w:t>
      </w:r>
      <w:r>
        <w:t xml:space="preserve">Every interval still covers values both below and above one-half, so no candidate</w:t>
      </w:r>
      <w:r>
        <w:t xml:space="preserve"> </w:t>
      </w:r>
      <w:r>
        <w:t xml:space="preserve">is a statistically sharp</w:t>
      </w:r>
      <w:r>
        <w:t xml:space="preserve"> </w:t>
      </w:r>
      <w:r>
        <w:t xml:space="preserve">“</w:t>
      </w:r>
      <w:r>
        <w:t xml:space="preserve">in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out</w:t>
      </w:r>
      <w:r>
        <w:t xml:space="preserve">”</w:t>
      </w:r>
      <w:r>
        <w:t xml:space="preserve"> </w:t>
      </w:r>
      <w:r>
        <w:t xml:space="preserve">call.</w:t>
      </w:r>
    </w:p>
    <w:bookmarkStart w:id="38" w:name="tab:ml2032"/>
    <w:p>
      <w:pPr>
        <w:pStyle w:val="TableCaption"/>
      </w:pPr>
      <w:r>
        <w:t xml:space="preserve">2032 inclusion probabilities from</w:t>
      </w:r>
      <w:r>
        <w:t xml:space="preserve"> </w:t>
      </w:r>
      <w:r>
        <w:rPr>
          <w:rStyle w:val="VerbatimChar"/>
        </w:rPr>
        <w:t xml:space="preserve">ml_prediction_2032.csv</w:t>
      </w:r>
      <w:r>
        <w:t xml:space="preserve"> </w:t>
      </w:r>
      <w:r>
        <w:t xml:space="preserve">(logistic CI from bootstrap percentiles).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2032 inclusion probabilities from ml_prediction_2032.csv (logistic CI from bootstrap percentiles)."/>
      </w:tblPr>
      <w:tblGrid/>
      <w:tr>
        <w:tc>
          <w:p>
            <w:pPr>
              <w:pStyle w:val="Compact"/>
              <w:jc w:val="left"/>
            </w:pPr>
            <w:r>
              <w:t xml:space="preserve">SDE</w:t>
            </w:r>
          </w:p>
        </w:tc>
        <w:tc>
          <w:p>
            <w:pPr>
              <w:pStyle w:val="Compact"/>
              <w:jc w:val="righ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t</m:t>
                  </m:r>
                </m:sub>
              </m:sSub>
            </m:oMath>
          </w:p>
        </w:tc>
        <w:tc>
          <w:p>
            <w:pPr>
              <w:pStyle w:val="Compact"/>
              <w:jc w:val="righ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F</m:t>
                  </m:r>
                </m:sub>
              </m:sSub>
            </m:oMath>
          </w:p>
        </w:tc>
        <w:tc>
          <w:p>
            <w:pPr>
              <w:pStyle w:val="Compact"/>
              <w:jc w:val="right"/>
            </w:pPr>
            <w:r>
              <w:t xml:space="preserve">CI low</w:t>
            </w:r>
          </w:p>
        </w:tc>
        <w:tc>
          <w:p>
            <w:pPr>
              <w:pStyle w:val="Compact"/>
              <w:jc w:val="right"/>
            </w:pPr>
            <w:r>
              <w:t xml:space="preserve">CI high</w:t>
            </w:r>
          </w:p>
        </w:tc>
        <w:tc>
          <w:p>
            <w:pPr>
              <w:pStyle w:val="Compact"/>
              <w:jc w:val="left"/>
            </w:pPr>
            <w:r>
              <w:t xml:space="preserve">tier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Cricket</w:t>
            </w:r>
          </w:p>
        </w:tc>
        <w:tc>
          <w:p>
            <w:pPr>
              <w:pStyle w:val="Compact"/>
              <w:jc w:val="right"/>
            </w:pPr>
            <w:r>
              <w:t xml:space="preserve">0.7984</w:t>
            </w:r>
          </w:p>
        </w:tc>
        <w:tc>
          <w:p>
            <w:pPr>
              <w:pStyle w:val="Compact"/>
              <w:jc w:val="right"/>
            </w:pPr>
            <w:r>
              <w:t xml:space="preserve">0.6535</w:t>
            </w:r>
          </w:p>
        </w:tc>
        <w:tc>
          <w:p>
            <w:pPr>
              <w:pStyle w:val="Compact"/>
              <w:jc w:val="right"/>
            </w:pPr>
            <w:r>
              <w:t xml:space="preserve">0.2689</w:t>
            </w:r>
          </w:p>
        </w:tc>
        <w:tc>
          <w:p>
            <w:pPr>
              <w:pStyle w:val="Compact"/>
              <w:jc w:val="right"/>
            </w:pPr>
            <w:r>
              <w:t xml:space="preserve">0.9541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Squash</w:t>
            </w:r>
          </w:p>
        </w:tc>
        <w:tc>
          <w:p>
            <w:pPr>
              <w:pStyle w:val="Compact"/>
              <w:jc w:val="right"/>
            </w:pPr>
            <w:r>
              <w:t xml:space="preserve">0.4215</w:t>
            </w:r>
          </w:p>
        </w:tc>
        <w:tc>
          <w:p>
            <w:pPr>
              <w:pStyle w:val="Compact"/>
              <w:jc w:val="right"/>
            </w:pPr>
            <w:r>
              <w:t xml:space="preserve">0.5913</w:t>
            </w:r>
          </w:p>
        </w:tc>
        <w:tc>
          <w:p>
            <w:pPr>
              <w:pStyle w:val="Compact"/>
              <w:jc w:val="right"/>
            </w:pPr>
            <w:r>
              <w:t xml:space="preserve">0.1152</w:t>
            </w:r>
          </w:p>
        </w:tc>
        <w:tc>
          <w:p>
            <w:pPr>
              <w:pStyle w:val="Compact"/>
              <w:jc w:val="right"/>
            </w:pPr>
            <w:r>
              <w:t xml:space="preserve">0.7042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Flag football</w:t>
            </w:r>
          </w:p>
        </w:tc>
        <w:tc>
          <w:p>
            <w:pPr>
              <w:pStyle w:val="Compact"/>
              <w:jc w:val="right"/>
            </w:pPr>
            <w:r>
              <w:t xml:space="preserve">0.6384</w:t>
            </w:r>
          </w:p>
        </w:tc>
        <w:tc>
          <w:p>
            <w:pPr>
              <w:pStyle w:val="Compact"/>
              <w:jc w:val="right"/>
            </w:pPr>
            <w:r>
              <w:t xml:space="preserve">0.6079</w:t>
            </w:r>
          </w:p>
        </w:tc>
        <w:tc>
          <w:p>
            <w:pPr>
              <w:pStyle w:val="Compact"/>
              <w:jc w:val="right"/>
            </w:pPr>
            <w:r>
              <w:t xml:space="preserve">0.1158</w:t>
            </w:r>
          </w:p>
        </w:tc>
        <w:tc>
          <w:p>
            <w:pPr>
              <w:pStyle w:val="Compact"/>
              <w:jc w:val="right"/>
            </w:pPr>
            <w:r>
              <w:t xml:space="preserve">0.8994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38"/>
    <w:p>
      <w:pPr>
        <w:pStyle w:val="CaptionedFigure"/>
      </w:pPr>
      <w:bookmarkStart w:id="40" w:name="fig:ml2032"/>
      <w:r>
        <w:drawing>
          <wp:inline>
            <wp:extent cx="5334000" cy="3379786"/>
            <wp:effectExtent b="0" l="0" r="0" t="0"/>
            <wp:docPr descr="Logistic bootstrap means and 95% intervals for Brisbane 2032 candidates. Dashed line: P=0.50. Source: paper_figures/fig_ml_2032_probability.png." title="" id="1" name="Picture"/>
            <a:graphic>
              <a:graphicData uri="http://schemas.openxmlformats.org/drawingml/2006/picture">
                <pic:pic>
                  <pic:nvPicPr>
                    <pic:cNvPr descr="fig_ml_2032_probabilit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9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Logistic bootstrap means and 95% intervals for Brisbane 2032 candidates.</w:t>
      </w:r>
      <w:r>
        <w:t xml:space="preserve"> </w:t>
      </w:r>
      <w:r>
        <w:t xml:space="preserve">Dashed line: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0.50</m:t>
        </m:r>
      </m:oMath>
      <w:r>
        <w:t xml:space="preserve">. Source:</w:t>
      </w:r>
      <w:r>
        <w:t xml:space="preserve"> </w:t>
      </w:r>
      <w:r>
        <w:rPr>
          <w:rStyle w:val="VerbatimChar"/>
        </w:rPr>
        <w:t xml:space="preserve">paper_figures/fig_ml_2032_probability.png</w:t>
      </w:r>
      <w:r>
        <w:t xml:space="preserve">.</w:t>
      </w:r>
    </w:p>
    <w:bookmarkEnd w:id="41"/>
    <w:bookmarkStart w:id="45" w:name="X67d5cec7be3a300944981fa892fac0da51c9096"/>
    <w:p>
      <w:pPr>
        <w:pStyle w:val="Heading3"/>
      </w:pPr>
      <w:r>
        <w:t xml:space="preserve">AHP versus</w:t>
      </w:r>
      <w:r>
        <w:t xml:space="preserve"> </w:t>
      </w:r>
      <m:oMath>
        <m:r>
          <m:rPr>
            <m:sty m:val="p"/>
          </m:rPr>
          <m:t>|</m:t>
        </m:r>
        <m:r>
          <m:t>β</m:t>
        </m:r>
        <m:r>
          <m:rPr>
            <m:sty m:val="p"/>
          </m:rPr>
          <m:t>|</m:t>
        </m:r>
      </m:oMath>
      <w:r>
        <w:t xml:space="preserve">, and triangulation with SAW</w:t>
      </w:r>
    </w:p>
    <w:p>
      <w:pPr>
        <w:pStyle w:val="FirstParagraph"/>
      </w:pPr>
      <w:r>
        <w:t xml:space="preserve">Table </w:t>
      </w:r>
      <w:hyperlink w:anchor="tab:ahpml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and Figure </w:t>
      </w:r>
      <w:hyperlink w:anchor="fig:dumbbell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compare L1-normalized</w:t>
      </w:r>
      <w:r>
        <w:t xml:space="preserve"> </w:t>
      </w:r>
      <w:r>
        <w:t xml:space="preserve">logistic</w:t>
      </w:r>
      <w:r>
        <w:t xml:space="preserve"> </w:t>
      </w:r>
      <m:oMath>
        <m:r>
          <m:rPr>
            <m:sty m:val="p"/>
          </m:rPr>
          <m:t>|</m:t>
        </m:r>
        <m:r>
          <m:t>β</m:t>
        </m:r>
        <m:r>
          <m:rPr>
            <m:sty m:val="p"/>
          </m:rPr>
          <m:t>|</m:t>
        </m:r>
      </m:oMath>
      <w:r>
        <w:t xml:space="preserve"> </w:t>
      </w:r>
      <w:r>
        <w:t xml:space="preserve">on the six IOC leaves with the locked AHP vector restricted</w:t>
      </w:r>
      <w:r>
        <w:t xml:space="preserve"> </w:t>
      </w:r>
      <w:r>
        <w:t xml:space="preserve">to the same six names. The largest positive gap</w:t>
      </w:r>
      <w:r>
        <w:t xml:space="preserve"> </w:t>
      </w:r>
      <m:oMath>
        <m:r>
          <m:t>Δ</m:t>
        </m:r>
        <m:r>
          <m:t>w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rPr>
                <m:sty m:val="p"/>
              </m:rPr>
              <m:t>M</m:t>
            </m:r>
            <m:r>
              <m:rPr>
                <m:sty m:val="p"/>
              </m:rPr>
              <m:t>L</m:t>
            </m:r>
          </m:sup>
        </m:sSup>
        <m:r>
          <m:rPr>
            <m:sty m:val="p"/>
          </m:rPr>
          <m:t>−</m:t>
        </m:r>
        <m:sSup>
          <m:e>
            <m:r>
              <m:t>w</m:t>
            </m:r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BROADCAST_VAL</w:t>
      </w:r>
      <w:r>
        <w:t xml:space="preserve"> </w:t>
      </w:r>
      <w:r>
        <w:t xml:space="preserve">(</w:t>
      </w:r>
      <m:oMath>
        <m:r>
          <m:t>Δ</m:t>
        </m:r>
        <m:r>
          <m:t>w</m:t>
        </m:r>
        <m:r>
          <m:rPr>
            <m:sty m:val="p"/>
          </m:rPr>
          <m:t>=</m:t>
        </m:r>
        <m:r>
          <m:t>0.2557</m:t>
        </m:r>
      </m:oMath>
      <w:r>
        <w:t xml:space="preserve">):</w:t>
      </w:r>
      <w:r>
        <w:t xml:space="preserve"> </w:t>
      </w:r>
      <w:r>
        <w:t xml:space="preserve">the stay/exit labels put more mass on that leaf than the expert prior.</w:t>
      </w:r>
      <w:r>
        <w:t xml:space="preserve"> </w:t>
      </w:r>
      <w:r>
        <w:t xml:space="preserve">Youth appeal and gender parity go the other way—AHP is larger—and gender</w:t>
      </w:r>
      <w:r>
        <w:t xml:space="preserve"> </w:t>
      </w:r>
      <w:r>
        <w:t xml:space="preserve">has zero ML weight because all six labelled sports sit at a 50% gender share.</w:t>
      </w:r>
      <w:r>
        <w:t xml:space="preserve"> </w:t>
      </w:r>
      <w:r>
        <w:t xml:space="preserve">The six-dimensional cosine between the two simplices is 0.7193.</w:t>
      </w:r>
    </w:p>
    <w:p>
      <w:pPr>
        <w:pStyle w:val="BodyText"/>
      </w:pPr>
      <w:r>
        <w:t xml:space="preserve">Methodological triangulation is therefore only</w:t>
      </w:r>
      <w:r>
        <w:t xml:space="preserve"> </w:t>
      </w:r>
      <w:r>
        <w:rPr>
          <w:iCs/>
          <w:i/>
        </w:rPr>
        <w:t xml:space="preserve">partial</w:t>
      </w:r>
      <w:r>
        <w:t xml:space="preserve">.</w:t>
      </w:r>
      <w:r>
        <w:t xml:space="preserve"> </w:t>
      </w:r>
      <w:r>
        <w:t xml:space="preserve">AHP–SAW on the three-candidate universe ranks</w:t>
      </w:r>
      <w:r>
        <w:t xml:space="preserve"> </w:t>
      </w:r>
      <w:r>
        <w:rPr>
          <w:bCs/>
          <w:b/>
        </w:rPr>
        <w:t xml:space="preserve">Flag football</w:t>
      </w:r>
      <w:r>
        <w:t xml:space="preserve"> </w:t>
      </w:r>
      <w:r>
        <w:t xml:space="preserve">first (composite</w:t>
      </w:r>
      <w:r>
        <w:t xml:space="preserve"> </w:t>
      </w:r>
      <m:oMath>
        <m:r>
          <m:t>0.5360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brisbane_2032_ranking.csv</w:t>
      </w:r>
      <w:r>
        <w:t xml:space="preserve">).</w:t>
      </w:r>
      <w:r>
        <w:t xml:space="preserve"> </w:t>
      </w:r>
      <w:r>
        <w:t xml:space="preserve">The logistic bootstrap mean instead ranks</w:t>
      </w:r>
      <w:r>
        <w:t xml:space="preserve"> </w:t>
      </w:r>
      <w:r>
        <w:rPr>
          <w:bCs/>
          <w:b/>
        </w:rPr>
        <w:t xml:space="preserve">Cricket</w:t>
      </w:r>
      <w:r>
        <w:t xml:space="preserve"> </w:t>
      </w:r>
      <w:r>
        <w:t xml:space="preserve">first.</w:t>
      </w:r>
      <w:r>
        <w:t xml:space="preserve"> </w:t>
      </w:r>
      <w:r>
        <w:t xml:space="preserve">Flag football remains in the SAW gold medal and in the ML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tier,</w:t>
      </w:r>
      <w:r>
        <w:t xml:space="preserve"> </w:t>
      </w:r>
      <w:r>
        <w:t xml:space="preserve">so both paradigms keep it above Squash; they do not jointly lock a unique 2032</w:t>
      </w:r>
      <w:r>
        <w:t xml:space="preserve"> </w:t>
      </w:r>
      <w:r>
        <w:t xml:space="preserve">add. We report that tension rather than force a</w:t>
      </w:r>
      <w:r>
        <w:t xml:space="preserve"> </w:t>
      </w:r>
      <w:r>
        <w:t xml:space="preserve">“</w:t>
      </w:r>
      <w:r>
        <w:t xml:space="preserve">strict first-place lock.</w:t>
      </w:r>
      <w:r>
        <w:t xml:space="preserve">”</w:t>
      </w:r>
      <w:r>
        <w:t xml:space="preserve"> </w:t>
      </w:r>
      <w:r>
        <w:t xml:space="preserve">Programme advice stays with the AHP–SAW ranking and the youth-weight sensitivity</w:t>
      </w:r>
      <w:r>
        <w:t xml:space="preserve"> </w:t>
      </w:r>
      <w:r>
        <w:t xml:space="preserve">already stated; the classifier is a second lens, not a trump card.</w:t>
      </w:r>
    </w:p>
    <w:bookmarkStart w:id="42" w:name="tab:ahpml"/>
    <w:p>
      <w:pPr>
        <w:pStyle w:val="TableCaption"/>
      </w:pPr>
      <w:r>
        <w:t xml:space="preserve">Six-criterion AHP versus logistic</w:t>
      </w:r>
      <w:r>
        <w:t xml:space="preserve"> </w:t>
      </w:r>
      <m:oMath>
        <m:r>
          <m:rPr>
            <m:sty m:val="p"/>
          </m:rPr>
          <m:t>|</m:t>
        </m:r>
        <m:r>
          <m:t>β</m:t>
        </m:r>
        <m:r>
          <m:rPr>
            <m:sty m:val="p"/>
          </m:rPr>
          <m:t>|</m:t>
        </m:r>
      </m:oMath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ahp_vs_ml_weights.csv</w:t>
      </w:r>
      <w:r>
        <w:t xml:space="preserve">. Difference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rPr>
                <m:sty m:val="p"/>
              </m:rPr>
              <m:t>M</m:t>
            </m:r>
            <m:r>
              <m:rPr>
                <m:sty m:val="p"/>
              </m:rPr>
              <m:t>L</m:t>
            </m:r>
          </m:sup>
        </m:sSup>
        <m:r>
          <m:rPr>
            <m:sty m:val="p"/>
          </m:rPr>
          <m:t>−</m:t>
        </m:r>
        <m:sSup>
          <m:e>
            <m:r>
              <m:t>w</m:t>
            </m:r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P</m:t>
            </m:r>
          </m:sup>
        </m:sSup>
      </m:oMath>
      <w:r>
        <w:t xml:space="preserve">.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Six-criterion AHP versus logistic |\beta| from ahp_vs_ml_weights.csv. Difference =w^{\mathrm{ML}}-w^{\mathrm{AHP}}."/>
      </w:tblPr>
      <w:tblGrid/>
      <w:tr>
        <w:tc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p>
            <w:pPr>
              <w:pStyle w:val="Compact"/>
              <w:jc w:val="right"/>
            </w:pPr>
            <w:r>
              <w:t xml:space="preserve">AHP</w:t>
            </w:r>
          </w:p>
        </w:tc>
        <w:tc>
          <w:p>
            <w:pPr>
              <w:pStyle w:val="Compact"/>
              <w:jc w:val="right"/>
            </w:pPr>
            <w:r>
              <w:t xml:space="preserve">ML</w:t>
            </w:r>
          </w:p>
        </w:tc>
        <w:tc>
          <w:p>
            <w:pPr>
              <w:pStyle w:val="Compact"/>
              <w:jc w:val="right"/>
            </w:pPr>
            <m:oMath>
              <m:r>
                <m:t>Δ</m:t>
              </m:r>
              <m:r>
                <m:t>w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GLOBAL_REACH</w:t>
            </w:r>
          </w:p>
        </w:tc>
        <w:tc>
          <w:p>
            <w:pPr>
              <w:pStyle w:val="Compact"/>
              <w:jc w:val="right"/>
            </w:pPr>
            <w:r>
              <w:t xml:space="preserve">0.2000</w:t>
            </w:r>
          </w:p>
        </w:tc>
        <w:tc>
          <w:p>
            <w:pPr>
              <w:pStyle w:val="Compact"/>
              <w:jc w:val="right"/>
            </w:pPr>
            <w:r>
              <w:t xml:space="preserve">0.1295</w:t>
            </w:r>
          </w:p>
        </w:tc>
        <w:tc>
          <w:p>
            <w:pPr>
              <w:pStyle w:val="Compact"/>
              <w:jc w:val="right"/>
            </w:pPr>
            <w:r>
              <w:t xml:space="preserve">-0.0705</w:t>
            </w:r>
          </w:p>
        </w:tc>
        <w:tc>
          <w:p>
            <w:pPr>
              <w:pStyle w:val="Compact"/>
              <w:jc w:val="left"/>
            </w:pPr>
            <w:r>
              <w:t xml:space="preserve">AHP_higher_than_ML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GENDER_PARITY</w:t>
            </w:r>
          </w:p>
        </w:tc>
        <w:tc>
          <w:p>
            <w:pPr>
              <w:pStyle w:val="Compact"/>
              <w:jc w:val="right"/>
            </w:pPr>
            <w:r>
              <w:t xml:space="preserve">0.1778</w:t>
            </w:r>
          </w:p>
        </w:tc>
        <w:tc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p>
            <w:pPr>
              <w:pStyle w:val="Compact"/>
              <w:jc w:val="right"/>
            </w:pPr>
            <w:r>
              <w:t xml:space="preserve">-0.1778</w:t>
            </w:r>
          </w:p>
        </w:tc>
        <w:tc>
          <w:p>
            <w:pPr>
              <w:pStyle w:val="Compact"/>
              <w:jc w:val="left"/>
            </w:pPr>
            <w:r>
              <w:t xml:space="preserve">AHP_higher_than_ML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YOUTH_APPEAL</w:t>
            </w:r>
          </w:p>
        </w:tc>
        <w:tc>
          <w:p>
            <w:pPr>
              <w:pStyle w:val="Compact"/>
              <w:jc w:val="right"/>
            </w:pPr>
            <w:r>
              <w:t xml:space="preserve">0.2444</w:t>
            </w:r>
          </w:p>
        </w:tc>
        <w:tc>
          <w:p>
            <w:pPr>
              <w:pStyle w:val="Compact"/>
              <w:jc w:val="right"/>
            </w:pPr>
            <w:r>
              <w:t xml:space="preserve">0.1285</w:t>
            </w:r>
          </w:p>
        </w:tc>
        <w:tc>
          <w:p>
            <w:pPr>
              <w:pStyle w:val="Compact"/>
              <w:jc w:val="right"/>
            </w:pPr>
            <w:r>
              <w:t xml:space="preserve">-0.1159</w:t>
            </w:r>
          </w:p>
        </w:tc>
        <w:tc>
          <w:p>
            <w:pPr>
              <w:pStyle w:val="Compact"/>
              <w:jc w:val="left"/>
            </w:pPr>
            <w:r>
              <w:t xml:space="preserve">AHP_higher_than_ML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INFRA_COST</w:t>
            </w:r>
          </w:p>
        </w:tc>
        <w:tc>
          <w:p>
            <w:pPr>
              <w:pStyle w:val="Compact"/>
              <w:jc w:val="right"/>
            </w:pPr>
            <w:r>
              <w:t xml:space="preserve">0.1333</w:t>
            </w:r>
          </w:p>
        </w:tc>
        <w:tc>
          <w:p>
            <w:pPr>
              <w:pStyle w:val="Compact"/>
              <w:jc w:val="right"/>
            </w:pPr>
            <w:r>
              <w:t xml:space="preserve">0.2813</w:t>
            </w:r>
          </w:p>
        </w:tc>
        <w:tc>
          <w:p>
            <w:pPr>
              <w:pStyle w:val="Compact"/>
              <w:jc w:val="right"/>
            </w:pPr>
            <w:r>
              <w:t xml:space="preserve">0.1480</w:t>
            </w:r>
          </w:p>
        </w:tc>
        <w:tc>
          <w:p>
            <w:pPr>
              <w:pStyle w:val="Compact"/>
              <w:jc w:val="left"/>
            </w:pPr>
            <w:r>
              <w:t xml:space="preserve">ML_higher_than_AHP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BROADCAST_VAL</w:t>
            </w:r>
          </w:p>
        </w:tc>
        <w:tc>
          <w:p>
            <w:pPr>
              <w:pStyle w:val="Compact"/>
              <w:jc w:val="right"/>
            </w:pPr>
            <w:r>
              <w:t xml:space="preserve">0.1556</w:t>
            </w:r>
          </w:p>
        </w:tc>
        <w:tc>
          <w:p>
            <w:pPr>
              <w:pStyle w:val="Compact"/>
              <w:jc w:val="right"/>
            </w:pPr>
            <w:r>
              <w:t xml:space="preserve">0.4113</w:t>
            </w:r>
          </w:p>
        </w:tc>
        <w:tc>
          <w:p>
            <w:pPr>
              <w:pStyle w:val="Compact"/>
              <w:jc w:val="right"/>
            </w:pPr>
            <w:r>
              <w:t xml:space="preserve">0.2557</w:t>
            </w:r>
          </w:p>
        </w:tc>
        <w:tc>
          <w:p>
            <w:pPr>
              <w:pStyle w:val="Compact"/>
              <w:jc w:val="left"/>
            </w:pPr>
            <w:r>
              <w:t xml:space="preserve">ML_higher_than_AHP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Events_Count</w:t>
            </w:r>
          </w:p>
        </w:tc>
        <w:tc>
          <w:p>
            <w:pPr>
              <w:pStyle w:val="Compact"/>
              <w:jc w:val="right"/>
            </w:pPr>
            <w:r>
              <w:t xml:space="preserve">0.0889</w:t>
            </w:r>
          </w:p>
        </w:tc>
        <w:tc>
          <w:p>
            <w:pPr>
              <w:pStyle w:val="Compact"/>
              <w:jc w:val="right"/>
            </w:pPr>
            <w:r>
              <w:t xml:space="preserve">0.0494</w:t>
            </w:r>
          </w:p>
        </w:tc>
        <w:tc>
          <w:p>
            <w:pPr>
              <w:pStyle w:val="Compact"/>
              <w:jc w:val="right"/>
            </w:pPr>
            <w:r>
              <w:t xml:space="preserve">-0.0395</w:t>
            </w:r>
          </w:p>
        </w:tc>
        <w:tc>
          <w:p>
            <w:pPr>
              <w:pStyle w:val="Compact"/>
              <w:jc w:val="left"/>
            </w:pPr>
            <w:r>
              <w:t xml:space="preserve">AHP_higher_than_ML</w:t>
            </w:r>
          </w:p>
        </w:tc>
      </w:tr>
    </w:tbl>
    <w:bookmarkEnd w:id="42"/>
    <w:p>
      <w:pPr>
        <w:pStyle w:val="CaptionedFigure"/>
      </w:pPr>
      <w:bookmarkStart w:id="44" w:name="fig:dumbbell"/>
      <w:r>
        <w:drawing>
          <wp:inline>
            <wp:extent cx="5334000" cy="3200818"/>
            <wp:effectExtent b="0" l="0" r="0" t="0"/>
            <wp:docPr descr="Dumbbell plot of subjective AHP weights (blue) and objective logistic weights (orange). Source: paper_figures/fig_ahp_vs_ml_dumbbell.png." title="" id="1" name="Picture"/>
            <a:graphic>
              <a:graphicData uri="http://schemas.openxmlformats.org/drawingml/2006/picture">
                <pic:pic>
                  <pic:nvPicPr>
                    <pic:cNvPr descr="fig_ahp_vs_ml_dumbbel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Dumbbell plot of subjective AHP weights (blue) and objective logistic</w:t>
      </w:r>
      <w:r>
        <w:t xml:space="preserve"> </w:t>
      </w:r>
      <w:r>
        <w:t xml:space="preserve">weights (orange). Source:</w:t>
      </w:r>
      <w:r>
        <w:t xml:space="preserve"> </w:t>
      </w:r>
      <w:r>
        <w:rPr>
          <w:rStyle w:val="VerbatimChar"/>
        </w:rPr>
        <w:t xml:space="preserve">paper_figures/fig_ahp_vs_ml_dumbbell.png</w:t>
      </w:r>
      <w:r>
        <w:t xml:space="preserve">.</w:t>
      </w:r>
    </w:p>
    <w:bookmarkEnd w:id="45"/>
    <w:bookmarkEnd w:id="46"/>
    <w:bookmarkEnd w:id="47"/>
    <w:bookmarkStart w:id="52" w:name="sec:sens"/>
    <w:p>
      <w:pPr>
        <w:pStyle w:val="Heading1"/>
      </w:pPr>
      <w:r>
        <w:t xml:space="preserve">Sensitivity and Robustness Analysis</w:t>
      </w:r>
    </w:p>
    <w:p>
      <w:pPr>
        <w:pStyle w:val="FirstParagraph"/>
      </w:pPr>
      <w:r>
        <w:t xml:space="preserve">One-at-a-time shocks multiply every leaf in an IOC group by</w:t>
      </w:r>
      <w:r>
        <w:t xml:space="preserve"> </w:t>
      </w:r>
      <m:oMath>
        <m:r>
          <m:t>1.20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renormalize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 a probability vector. Groups are Popularity/Accessibility</w:t>
      </w:r>
      <w:r>
        <w:t xml:space="preserve"> </w:t>
      </w:r>
      <w:r>
        <w:t xml:space="preserve">(Appearances and BROADCAST_VAL), Programme footprint (Events_Count), Inclusivity,</w:t>
      </w:r>
      <w:r>
        <w:t xml:space="preserve"> </w:t>
      </w:r>
      <w:r>
        <w:t xml:space="preserve">Gender equity, Relevance/Innovation (YOUTH_APPEAL), and Sustainability. An extra</w:t>
      </w:r>
      <w:r>
        <w:t xml:space="preserve"> </w:t>
      </w:r>
      <w:r>
        <w:t xml:space="preserve">extreme case sets the youth weight to zero and renormalizes the rest.</w:t>
      </w:r>
    </w:p>
    <w:p>
      <w:pPr>
        <w:pStyle w:val="BodyText"/>
      </w:pPr>
      <w:r>
        <w:t xml:space="preserve">Table </w:t>
      </w:r>
      <w:hyperlink w:anchor="tab:oat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compresses</w:t>
      </w:r>
      <w:r>
        <w:t xml:space="preserve"> </w:t>
      </w:r>
      <w:r>
        <w:rPr>
          <w:rStyle w:val="VerbatimChar"/>
        </w:rPr>
        <w:t xml:space="preserve">results/sensitivity_weight_shock.csv</w:t>
      </w:r>
      <w:r>
        <w:t xml:space="preserve"> </w:t>
      </w:r>
      <w:r>
        <w:t xml:space="preserve">for</w:t>
      </w:r>
      <w:r>
        <w:t xml:space="preserve"> </w:t>
      </w:r>
      <w:r>
        <w:t xml:space="preserve">the Brisbane universe. Every</w:t>
      </w:r>
      <w:r>
        <w:t xml:space="preserve"> </w:t>
      </w:r>
      <m:oMath>
        <m:r>
          <m:rPr>
            <m:sty m:val="p"/>
          </m:rPr>
          <m:t>±</m:t>
        </m:r>
        <m:r>
          <m:t>20</m:t>
        </m:r>
        <m:r>
          <m:rPr>
            <m:sty m:val="p"/>
          </m:rPr>
          <m:t>%</m:t>
        </m:r>
      </m:oMath>
      <w:r>
        <w:t xml:space="preserve"> </w:t>
      </w:r>
      <w:r>
        <w:t xml:space="preserve">row keeps Flag football–Cricket–Squash as</w:t>
      </w:r>
      <w:r>
        <w:t xml:space="preserve"> </w:t>
      </w:r>
      <w:r>
        <w:t xml:space="preserve">1–2–3. Cricket’s rank never leaves second place in that universe (rank range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across 14 scenarios). Flag football is first in 13 of 14 scenarios and third when</w:t>
      </w:r>
      <w:r>
        <w:t xml:space="preserve"> </w:t>
      </w:r>
      <w:r>
        <w:t xml:space="preserve">youth is removed.</w:t>
      </w:r>
    </w:p>
    <w:bookmarkStart w:id="48" w:name="tab:oat"/>
    <w:p>
      <w:pPr>
        <w:pStyle w:val="TableCaption"/>
      </w:pPr>
      <w:r>
        <w:t xml:space="preserve">Brisbane-universe ranks under locked weights, every</w:t>
      </w:r>
      <w:r>
        <w:t xml:space="preserve"> </w:t>
      </w:r>
      <m:oMath>
        <m:r>
          <m:rPr>
            <m:sty m:val="p"/>
          </m:rPr>
          <m:t>±</m:t>
        </m:r>
        <m:r>
          <m:t>20</m:t>
        </m:r>
        <m:r>
          <m:rPr>
            <m:sty m:val="p"/>
          </m:rPr>
          <m:t>%</m:t>
        </m:r>
      </m:oMath>
      <w:r>
        <w:t xml:space="preserve"> </w:t>
      </w:r>
      <w:r>
        <w:t xml:space="preserve">OAT group</w:t>
      </w:r>
      <w:r>
        <w:t xml:space="preserve"> </w:t>
      </w:r>
      <w:r>
        <w:t xml:space="preserve">(all identical), and youth weight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. Source:</w:t>
      </w:r>
      <w:r>
        <w:t xml:space="preserve"> </w:t>
      </w:r>
      <w:r>
        <w:rPr>
          <w:rStyle w:val="VerbatimChar"/>
        </w:rPr>
        <w:t xml:space="preserve">sensitivity_weight_shock.csv</w:t>
      </w:r>
      <w:r>
        <w:t xml:space="preserve">.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Brisbane-universe ranks under locked weights, every \pm 20\% OAT group (all identical), and youth weight =0. Source: sensitivity_weight_shock.csv."/>
      </w:tblPr>
      <w:tblGrid/>
      <w:tr>
        <w:tc>
          <w:p>
            <w:pPr>
              <w:pStyle w:val="Compact"/>
              <w:jc w:val="left"/>
            </w:pPr>
            <w:r>
              <w:t xml:space="preserve">SDE</w:t>
            </w:r>
          </w:p>
        </w:tc>
        <w:tc>
          <w:p>
            <w:pPr>
              <w:pStyle w:val="Compact"/>
              <w:jc w:val="center"/>
            </w:pPr>
            <w:r>
              <w:t xml:space="preserve">Baseline / all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20</m:t>
              </m:r>
              <m:r>
                <m:rPr>
                  <m:sty m:val="p"/>
                </m:rPr>
                <m:t>%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Youth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Δ</m:t>
              </m:r>
            </m:oMath>
            <w:r>
              <w:t xml:space="preserve"> </w:t>
            </w:r>
            <w:r>
              <w:t xml:space="preserve">rank at youth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Flag football</w:t>
            </w:r>
          </w:p>
        </w:tc>
        <w:tc>
          <w:p>
            <w:pPr>
              <w:pStyle w:val="Compact"/>
              <w:jc w:val="center"/>
            </w:pPr>
            <w:r>
              <w:t xml:space="preserve">1st 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0.5360</m:t>
              </m:r>
            </m:oMath>
            <w:r>
              <w:t xml:space="preserve">)</w:t>
            </w:r>
          </w:p>
        </w:tc>
        <w:tc>
          <w:p>
            <w:pPr>
              <w:pStyle w:val="Compact"/>
              <w:jc w:val="center"/>
            </w:pPr>
            <w:r>
              <w:t xml:space="preserve">3rd 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0.4051</m:t>
              </m:r>
            </m:oMath>
            <w:r>
              <w:t xml:space="preserve">)</w:t>
            </w:r>
          </w:p>
        </w:tc>
        <w:tc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Cricket</w:t>
            </w:r>
          </w:p>
        </w:tc>
        <w:tc>
          <w:p>
            <w:pPr>
              <w:pStyle w:val="Compact"/>
              <w:jc w:val="center"/>
            </w:pPr>
            <w:r>
              <w:t xml:space="preserve">2nd 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0.4842</m:t>
              </m:r>
            </m:oMath>
            <w:r>
              <w:t xml:space="preserve">)</w:t>
            </w:r>
          </w:p>
        </w:tc>
        <w:tc>
          <w:p>
            <w:pPr>
              <w:pStyle w:val="Compact"/>
              <w:jc w:val="center"/>
            </w:pPr>
            <w:r>
              <w:t xml:space="preserve">2nd 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0.4092</m:t>
              </m:r>
            </m:oMath>
            <w:r>
              <w:t xml:space="preserve">)</w:t>
            </w:r>
          </w:p>
        </w:tc>
        <w:tc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Squash</w:t>
            </w:r>
          </w:p>
        </w:tc>
        <w:tc>
          <w:p>
            <w:pPr>
              <w:pStyle w:val="Compact"/>
              <w:jc w:val="center"/>
            </w:pPr>
            <w:r>
              <w:t xml:space="preserve">3rd 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0.3960</m:t>
              </m:r>
            </m:oMath>
            <w:r>
              <w:t xml:space="preserve">)</w:t>
            </w:r>
          </w:p>
        </w:tc>
        <w:tc>
          <w:p>
            <w:pPr>
              <w:pStyle w:val="Compact"/>
              <w:jc w:val="center"/>
            </w:pPr>
            <w:r>
              <w:t xml:space="preserve">1st 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0.5077</m:t>
              </m:r>
            </m:oMath>
            <w:r>
              <w:t xml:space="preserve">)</w:t>
            </w:r>
          </w:p>
        </w:tc>
        <w:tc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</m:t>
              </m:r>
            </m:oMath>
          </w:p>
        </w:tc>
      </w:tr>
    </w:tbl>
    <w:bookmarkEnd w:id="48"/>
    <w:p>
      <w:pPr>
        <w:pStyle w:val="BodyText"/>
      </w:pPr>
      <w:r>
        <w:t xml:space="preserve">On the nine-row</w:t>
      </w:r>
      <w:r>
        <w:t xml:space="preserve"> </w:t>
      </w:r>
      <w:r>
        <w:rPr>
          <w:rStyle w:val="VerbatimChar"/>
        </w:rPr>
        <w:t xml:space="preserve">sde_matrix</w:t>
      </w:r>
      <w:r>
        <w:t xml:space="preserve"> </w:t>
      </w:r>
      <w:r>
        <w:t xml:space="preserve">universe the same youth-zero experiment</w:t>
      </w:r>
      <w:r>
        <w:t xml:space="preserve"> </w:t>
      </w:r>
      <w:r>
        <w:t xml:space="preserve">reorders core versus urban sports (Table </w:t>
      </w:r>
      <w:hyperlink w:anchor="tab:youth9">
        <w:r>
          <w:rPr>
            <w:rStyle w:val="Hyperlink"/>
          </w:rPr>
          <w:t xml:space="preserve">6</w:t>
        </w:r>
      </w:hyperlink>
      <w:r>
        <w:t xml:space="preserve">).</w:t>
      </w:r>
    </w:p>
    <w:bookmarkStart w:id="49" w:name="tab:youth9"/>
    <w:p>
      <w:pPr>
        <w:pStyle w:val="TableCaption"/>
      </w:pPr>
      <w:r>
        <w:t xml:space="preserve">Selected ranks on the nine-row matrix, baseline versus youth weight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Selected ranks on the nine-row matrix, baseline versus youth weight =0."/>
      </w:tblPr>
      <w:tblGrid/>
      <w:tr>
        <w:tc>
          <w:p>
            <w:pPr>
              <w:pStyle w:val="Compact"/>
              <w:jc w:val="left"/>
            </w:pPr>
            <w:r>
              <w:t xml:space="preserve">SDE</w:t>
            </w:r>
          </w:p>
        </w:tc>
        <w:tc>
          <w:p>
            <w:pPr>
              <w:pStyle w:val="Compact"/>
              <w:jc w:val="center"/>
            </w:pPr>
            <w:r>
              <w:t xml:space="preserve">Baseline rank</w:t>
            </w:r>
          </w:p>
        </w:tc>
        <w:tc>
          <w:p>
            <w:pPr>
              <w:pStyle w:val="Compact"/>
              <w:jc w:val="center"/>
            </w:pPr>
            <w:r>
              <w:t xml:space="preserve">Rank after youth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Skateboarding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Breaking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Flag football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Athletics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Surfing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Swimming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Karate</w:t>
            </w:r>
          </w:p>
        </w:tc>
        <w:tc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Cricket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Squash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</w:tr>
    </w:tbl>
    <w:bookmarkEnd w:id="49"/>
    <w:p>
      <w:pPr>
        <w:pStyle w:val="BodyText"/>
      </w:pPr>
      <w:r>
        <w:t xml:space="preserve">Figure </w:t>
      </w:r>
      <w:hyperlink w:anchor="fig:sens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shows the Brisbane score and rank walks. The practical</w:t>
      </w:r>
      <w:r>
        <w:t xml:space="preserve"> </w:t>
      </w:r>
      <w:r>
        <w:t xml:space="preserve">conclusion is sharp: the 2032 medal order is</w:t>
      </w:r>
      <w:r>
        <w:t xml:space="preserve"> </w:t>
      </w:r>
      <w:r>
        <w:rPr>
          <w:iCs/>
          <w:i/>
        </w:rPr>
        <w:t xml:space="preserve">locally</w:t>
      </w:r>
      <w:r>
        <w:t xml:space="preserve"> </w:t>
      </w:r>
      <w:r>
        <w:t xml:space="preserve">robust to twenty-percent</w:t>
      </w:r>
      <w:r>
        <w:t xml:space="preserve"> </w:t>
      </w:r>
      <w:r>
        <w:t xml:space="preserve">criterion noise and</w:t>
      </w:r>
      <w:r>
        <w:t xml:space="preserve"> </w:t>
      </w:r>
      <w:r>
        <w:rPr>
          <w:iCs/>
          <w:i/>
        </w:rPr>
        <w:t xml:space="preserve">globally</w:t>
      </w:r>
      <w:r>
        <w:t xml:space="preserve"> </w:t>
      </w:r>
      <w:r>
        <w:t xml:space="preserve">fragile to dropping youth appeal. A decision</w:t>
      </w:r>
      <w:r>
        <w:t xml:space="preserve"> </w:t>
      </w:r>
      <w:r>
        <w:t xml:space="preserve">maker who does not accept a</w:t>
      </w:r>
      <w:r>
        <w:t xml:space="preserve"> </w:t>
      </w:r>
      <m:oMath>
        <m:r>
          <m:t>0.22</m:t>
        </m:r>
      </m:oMath>
      <w:r>
        <w:t xml:space="preserve"> </w:t>
      </w:r>
      <w:r>
        <w:t xml:space="preserve">youth weight should not adopt Flag football as</w:t>
      </w:r>
      <w:r>
        <w:t xml:space="preserve"> </w:t>
      </w:r>
      <w:r>
        <w:t xml:space="preserve">an automatic first pick; Squash then leads the trio, and Athletics/Swimming lead the</w:t>
      </w:r>
      <w:r>
        <w:t xml:space="preserve"> </w:t>
      </w:r>
      <w:r>
        <w:t xml:space="preserve">nine-sport panel.</w:t>
      </w:r>
    </w:p>
    <w:p>
      <w:pPr>
        <w:pStyle w:val="CaptionedFigure"/>
      </w:pPr>
      <w:bookmarkStart w:id="51" w:name="fig:sens"/>
      <w:r>
        <w:drawing>
          <wp:inline>
            <wp:extent cx="5334000" cy="2229004"/>
            <wp:effectExtent b="0" l="0" r="0" t="0"/>
            <wp:docPr descr="Parallel-coordinate shock plot from paper_figures/fig_sensitivity_shock.png. Left: composite scores; right: ranks (1 at the top). The only rank crossing among the three candidates is the youth-zero scenario." title="" id="1" name="Picture"/>
            <a:graphic>
              <a:graphicData uri="http://schemas.openxmlformats.org/drawingml/2006/picture">
                <pic:pic>
                  <pic:nvPicPr>
                    <pic:cNvPr descr="fig_sensitivity_shock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9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ImageCaption"/>
      </w:pPr>
      <w:r>
        <w:t xml:space="preserve">Parallel-coordinate shock plot from</w:t>
      </w:r>
      <w:r>
        <w:t xml:space="preserve"> </w:t>
      </w:r>
      <w:r>
        <w:rPr>
          <w:rStyle w:val="VerbatimChar"/>
        </w:rPr>
        <w:t xml:space="preserve">paper_figures/fig_sensitivity_shock.png</w:t>
      </w:r>
      <w:r>
        <w:t xml:space="preserve">. Left: composite scores; right:</w:t>
      </w:r>
      <w:r>
        <w:t xml:space="preserve"> </w:t>
      </w:r>
      <w:r>
        <w:t xml:space="preserve">ranks (1 at the top). The only rank crossing among the three candidates is the</w:t>
      </w:r>
      <w:r>
        <w:t xml:space="preserve"> </w:t>
      </w:r>
      <w:r>
        <w:t xml:space="preserve">youth-zero scenario.</w:t>
      </w:r>
    </w:p>
    <w:bookmarkEnd w:id="52"/>
    <w:bookmarkStart w:id="59" w:name="sec:lim"/>
    <w:p>
      <w:pPr>
        <w:pStyle w:val="Heading1"/>
      </w:pPr>
      <w:r>
        <w:t xml:space="preserve">Strengths and Limitations</w:t>
      </w:r>
    </w:p>
    <w:bookmarkStart w:id="53" w:name="strengths."/>
    <w:p>
      <w:pPr>
        <w:pStyle w:val="Heading4"/>
      </w:pPr>
      <w:r>
        <w:t xml:space="preserve">Strengths.</w:t>
      </w:r>
    </w:p>
    <w:p>
      <w:pPr>
        <w:pStyle w:val="FirstParagraph"/>
      </w:pPr>
      <w:r>
        <w:t xml:space="preserve">The comparison matrix is algebraically consistent (</w:t>
      </w:r>
      <m:oMath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=</m:t>
        </m:r>
        <m:r>
          <m:t>0</m:t>
        </m:r>
      </m:oMath>
      <w:r>
        <w:t xml:space="preserve">), so rank discussion is</w:t>
      </w:r>
      <w:r>
        <w:t xml:space="preserve"> </w:t>
      </w:r>
      <w:r>
        <w:t xml:space="preserve">not confounded by Saaty inconsistency. Leaves have an explicit benefit/cost sense</w:t>
      </w:r>
      <w:r>
        <w:t xml:space="preserve"> </w:t>
      </w:r>
      <w:r>
        <w:t xml:space="preserve">and a documented source split (xlsx versus research CSV versus Brisbane scenario).</w:t>
      </w:r>
      <w:r>
        <w:t xml:space="preserve"> </w:t>
      </w:r>
      <w:r>
        <w:t xml:space="preserve">Historical and 2032 runs share one weight vector. Sensitivity is a full OAT table</w:t>
      </w:r>
      <w:r>
        <w:t xml:space="preserve"> </w:t>
      </w:r>
      <w:r>
        <w:t xml:space="preserve">written to disk, not a narrative claim.</w:t>
      </w:r>
    </w:p>
    <w:bookmarkEnd w:id="53"/>
    <w:bookmarkStart w:id="54" w:name="subjective-weights."/>
    <w:p>
      <w:pPr>
        <w:pStyle w:val="Heading4"/>
      </w:pPr>
      <w:r>
        <w:t xml:space="preserve">Subjective weights.</w:t>
      </w:r>
    </w:p>
    <w:p>
      <w:pPr>
        <w:pStyle w:val="FirstParagraph"/>
      </w:pPr>
      <w:r>
        <w:t xml:space="preserve">Locking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 a team prior is still a value judgement. Ratio construction</w:t>
      </w:r>
      <w:r>
        <w:t xml:space="preserve"> </w:t>
      </w:r>
      <w:r>
        <w:t xml:space="preserve">hides disagreement that a filled 1–9 questionnaire would have revealed. The</w:t>
      </w:r>
      <w:r>
        <w:t xml:space="preserve"> </w:t>
      </w:r>
      <w:r>
        <w:t xml:space="preserve">youth-zero case shows that this judgement is decisive.</w:t>
      </w:r>
    </w:p>
    <w:bookmarkEnd w:id="54"/>
    <w:bookmarkStart w:id="55" w:name="scale-and-rank-reversal."/>
    <w:p>
      <w:pPr>
        <w:pStyle w:val="Heading4"/>
      </w:pPr>
      <w:r>
        <w:t xml:space="preserve">Scale and rank reversal.</w:t>
      </w:r>
    </w:p>
    <w:p>
      <w:pPr>
        <w:pStyle w:val="FirstParagraph"/>
      </w:pPr>
      <w:r>
        <w:t xml:space="preserve">Min-max depends on the alternative set. Adding or deleting an SDE can reorder the</w:t>
      </w:r>
      <w:r>
        <w:t xml:space="preserve"> </w:t>
      </w:r>
      <w:r>
        <w:t xml:space="preserve">others (a known SAW/AHP rank-reversal issue). That is why Table </w:t>
      </w:r>
      <w:hyperlink w:anchor="tab:his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Table </w:t>
      </w:r>
      <w:hyperlink w:anchor="tab:bri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are reported separately.</w:t>
      </w:r>
    </w:p>
    <w:bookmarkEnd w:id="55"/>
    <w:bookmarkStart w:id="56" w:name="missing-ioc-content."/>
    <w:p>
      <w:pPr>
        <w:pStyle w:val="Heading4"/>
      </w:pPr>
      <w:r>
        <w:t xml:space="preserve">Missing IOC content.</w:t>
      </w:r>
    </w:p>
    <w:p>
      <w:pPr>
        <w:pStyle w:val="FirstParagraph"/>
      </w:pPr>
      <w:r>
        <w:t xml:space="preserve">Fairness, anti-doping, athlete numbers, and domestic broadcast rights in Australia</w:t>
      </w:r>
      <w:r>
        <w:t xml:space="preserve"> </w:t>
      </w:r>
      <w:r>
        <w:t xml:space="preserve">are not columns.</w:t>
      </w:r>
      <w:r>
        <w:t xml:space="preserve"> </w:t>
      </w:r>
      <w:r>
        <w:rPr>
          <w:rStyle w:val="VerbatimChar"/>
        </w:rPr>
        <w:t xml:space="preserve">HOST_POPULARITY</w:t>
      </w:r>
      <w:r>
        <w:t xml:space="preserve"> </w:t>
      </w:r>
      <w:r>
        <w:t xml:space="preserve">exists for the three candidates and is</w:t>
      </w:r>
      <w:r>
        <w:t xml:space="preserve"> </w:t>
      </w:r>
      <w:r>
        <w:t xml:space="preserve">omitted from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design; including it would require a new eighth weight and a</w:t>
      </w:r>
      <w:r>
        <w:t xml:space="preserve"> </w:t>
      </w:r>
      <w:r>
        <w:t xml:space="preserve">new locked matrix.</w:t>
      </w:r>
    </w:p>
    <w:bookmarkEnd w:id="56"/>
    <w:bookmarkStart w:id="57" w:name="data-grain."/>
    <w:p>
      <w:pPr>
        <w:pStyle w:val="Heading4"/>
      </w:pPr>
      <w:r>
        <w:t xml:space="preserve">Data grain.</w:t>
      </w:r>
    </w:p>
    <w:p>
      <w:pPr>
        <w:pStyle w:val="FirstParagraph"/>
      </w:pPr>
      <w:r>
        <w:t xml:space="preserve">Federation membership is a coarse proxy for inclusivity. Gender shares of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are Paris-parity defaults, not event-by-event starts. Saaty leaves are research</w:t>
      </w:r>
      <w:r>
        <w:t xml:space="preserve"> </w:t>
      </w:r>
      <w:r>
        <w:t xml:space="preserve">scores, not ticket or TV measurements. Cricket’s historical-panel gender</w:t>
      </w:r>
      <w:r>
        <w:t xml:space="preserve"> </w:t>
      </w:r>
      <m:oMath>
        <m:r>
          <m:t>42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Brisbane-scenario gender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already show that two honest tables need not match.</w:t>
      </w:r>
    </w:p>
    <w:bookmarkEnd w:id="57"/>
    <w:bookmarkStart w:id="58" w:name="what-we-would-do-next."/>
    <w:p>
      <w:pPr>
        <w:pStyle w:val="Heading4"/>
      </w:pPr>
      <w:r>
        <w:t xml:space="preserve">What we would do next.</w:t>
      </w:r>
    </w:p>
    <w:p>
      <w:pPr>
        <w:pStyle w:val="FirstParagraph"/>
      </w:pPr>
      <w:r>
        <w:t xml:space="preserve">Re-elicit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 several independent pairwise matrices and take a geometric</w:t>
      </w:r>
      <w:r>
        <w:t xml:space="preserve"> </w:t>
      </w:r>
      <w:r>
        <w:t xml:space="preserve">mean; add a TOPSIS ranking already implemented in code as a cross-check; put host</w:t>
      </w:r>
      <w:r>
        <w:t xml:space="preserve"> </w:t>
      </w:r>
      <w:r>
        <w:t xml:space="preserve">popularity into a second-stage AHP only after a new consistency test; and replace</w:t>
      </w:r>
      <w:r>
        <w:t xml:space="preserve"> </w:t>
      </w:r>
      <w:r>
        <w:t xml:space="preserve">Saaty broadcast scores with audited rights-fee or audience figures if they become</w:t>
      </w:r>
      <w:r>
        <w:t xml:space="preserve"> </w:t>
      </w:r>
      <w:r>
        <w:t xml:space="preserve">available.</w:t>
      </w:r>
    </w:p>
    <w:bookmarkEnd w:id="58"/>
    <w:bookmarkEnd w:id="59"/>
    <w:bookmarkStart w:id="60" w:name="references"/>
    <w:p>
      <w:pPr>
        <w:pStyle w:val="Heading1"/>
      </w:pPr>
      <w:r>
        <w:t xml:space="preserve">References</w:t>
      </w:r>
    </w:p>
    <w:p>
      <w:pPr>
        <w:numPr>
          <w:ilvl w:val="0"/>
          <w:numId w:val="1002"/>
        </w:numPr>
      </w:pPr>
      <w:r>
        <w:t xml:space="preserve">T. L. Saaty,</w:t>
      </w:r>
      <w:r>
        <w:t xml:space="preserve"> </w:t>
      </w:r>
      <w:r>
        <w:rPr>
          <w:iCs/>
          <w:i/>
        </w:rPr>
        <w:t xml:space="preserve">The Analytic Hierarchy Process</w:t>
      </w:r>
      <w:r>
        <w:t xml:space="preserve">. McGraw-Hill, 1980.</w:t>
      </w:r>
    </w:p>
    <w:p>
      <w:pPr>
        <w:numPr>
          <w:ilvl w:val="0"/>
          <w:numId w:val="1002"/>
        </w:numPr>
      </w:pPr>
      <w:r>
        <w:t xml:space="preserve">International Olympic Committee, Olympic Agenda 2020 and related programme</w:t>
      </w:r>
      <w:r>
        <w:t xml:space="preserve"> </w:t>
      </w:r>
      <w:r>
        <w:t xml:space="preserve">documentation (public IOC materials on youth, gender parity, and sustainability).</w:t>
      </w:r>
    </w:p>
    <w:p>
      <w:pPr>
        <w:numPr>
          <w:ilvl w:val="0"/>
          <w:numId w:val="1002"/>
        </w:numPr>
      </w:pPr>
      <w:r>
        <w:t xml:space="preserve">COMAP, HiMCM 2024 Problem A data workbook</w:t>
      </w:r>
      <w:r>
        <w:t xml:space="preserve"> </w:t>
      </w:r>
      <w:r>
        <w:rPr>
          <w:rStyle w:val="VerbatimChar"/>
        </w:rPr>
        <w:t xml:space="preserve">HiMCM_Olympic_Data.xlsx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Kardi Teknomo,</w:t>
      </w:r>
      <w:r>
        <w:t xml:space="preserve"> </w:t>
      </w:r>
      <w:r>
        <w:rPr>
          <w:iCs/>
          <w:i/>
        </w:rPr>
        <w:t xml:space="preserve">Analytic Hierarchy Process (AHP) Tutorial</w:t>
      </w:r>
      <w:r>
        <w:t xml:space="preserve"> </w:t>
      </w:r>
      <w:r>
        <w:t xml:space="preserve">(notes on</w:t>
      </w:r>
      <w:r>
        <w:t xml:space="preserve"> </w:t>
      </w:r>
      <w:r>
        <w:t xml:space="preserve">eigenvalue weights,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R</m:t>
        </m:r>
      </m:oMath>
      <w:r>
        <w:t xml:space="preserve">, and the danger of mixing units before weighting).</w:t>
      </w:r>
    </w:p>
    <w:p>
      <w:pPr>
        <w:numPr>
          <w:ilvl w:val="0"/>
          <w:numId w:val="1002"/>
        </w:numPr>
      </w:pPr>
      <w:r>
        <w:t xml:space="preserve">Team files:</w:t>
      </w:r>
      <w:r>
        <w:t xml:space="preserve"> </w:t>
      </w:r>
      <w:r>
        <w:rPr>
          <w:rStyle w:val="VerbatimChar"/>
        </w:rPr>
        <w:t xml:space="preserve">results/historical_ranking.csv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results/brisbane_2032_ranking.csv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results/sensitivity_weight_shock.csv</w:t>
      </w:r>
      <w:r>
        <w:t xml:space="preserve">.</w:t>
      </w:r>
    </w:p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3" Target="media/rId43.png" /><Relationship Type="http://schemas.openxmlformats.org/officeDocument/2006/relationships/image" Id="rId28" Target="media/rId28.png" /><Relationship Type="http://schemas.openxmlformats.org/officeDocument/2006/relationships/image" Id="rId39" Target="media/rId39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Consistent AHP–SAW Pipeline for Olympic Programme Design: Historical Back-Tests and a Brisbane 2032 Shortlist HiMCM 2024 Problem A — Team GoHiMCM</dc:title>
  <dc:creator/>
  <cp:keywords/>
  <dcterms:created xsi:type="dcterms:W3CDTF">2026-09-19T03:32:22Z</dcterms:created>
  <dcterms:modified xsi:type="dcterms:W3CDTF">2026-09-19T03:32:22Z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