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爱图表 B端落地页文案</w:t>
      </w:r>
      <w:r>
        <w:rPr>
          <w:rFonts w:eastAsia="等线" w:ascii="Arial" w:cs="Arial" w:hAnsi="Arial"/>
          <w:b w:val="true"/>
          <w:sz w:val="52"/>
        </w:rPr>
        <w:t xml:space="preserve"> </w:t>
      </w:r>
      <w:r>
        <w:rPr>
          <w:rFonts w:eastAsia="等线" w:ascii="Arial" w:cs="Arial" w:hAnsi="Arial"/>
          <w:b w:val="true"/>
          <w:sz w:val="52"/>
        </w:rPr>
        <w:t xml:space="preserve"> 副本</w:t>
      </w:r>
    </w:p>
    <w:p>
      <w:pPr>
        <w:spacing w:before="120" w:after="120" w:line="288" w:lineRule="auto"/>
        <w:ind w:left="0"/>
        <w:jc w:val="left"/>
      </w:pPr>
      <w:r>
        <w:rPr>
          <w:rFonts w:eastAsia="等线" w:ascii="Arial" w:cs="Arial" w:hAnsi="Arial"/>
          <w:b w:val="true"/>
          <w:sz w:val="22"/>
          <w:shd w:fill="fff67a"/>
        </w:rPr>
        <w:t>爱图表  AI驱动的数据表达与内容生产平台</w:t>
      </w:r>
    </w:p>
    <w:p>
      <w:pPr>
        <w:spacing w:before="120" w:after="120" w:line="288" w:lineRule="auto"/>
        <w:ind w:left="0"/>
        <w:jc w:val="left"/>
      </w:pPr>
      <w:r>
        <w:rPr>
          <w:rFonts w:eastAsia="等线" w:ascii="Arial" w:cs="Arial" w:hAnsi="Arial"/>
          <w:sz w:val="22"/>
        </w:rPr>
        <w:t>中国首个「图表 Skill」AI 产品 · 自研图表模型 · 按 Token 用量计费</w:t>
      </w:r>
    </w:p>
    <w:p>
      <w:pPr>
        <w:pStyle w:val="3"/>
        <w:spacing w:before="300" w:after="120" w:line="288" w:lineRule="auto"/>
        <w:ind w:left="0"/>
        <w:jc w:val="left"/>
        <w:outlineLvl w:val="2"/>
      </w:pPr>
      <w:bookmarkStart w:name="heading_0" w:id="0"/>
      <w:r>
        <w:rPr>
          <w:rFonts w:eastAsia="等线" w:ascii="Arial" w:cs="Arial" w:hAnsi="Arial"/>
          <w:b w:val="true"/>
          <w:sz w:val="30"/>
        </w:rPr>
        <w:t>首屏</w:t>
      </w:r>
      <w:bookmarkEnd w:id="0"/>
    </w:p>
    <w:p>
      <w:pPr>
        <w:spacing w:before="120" w:after="120" w:line="288" w:lineRule="auto"/>
        <w:ind w:left="0"/>
        <w:jc w:val="left"/>
      </w:pPr>
      <w:r>
        <w:rPr>
          <w:rFonts w:eastAsia="等线" w:ascii="Arial" w:cs="Arial" w:hAnsi="Arial"/>
          <w:b w:val="true"/>
          <w:sz w:val="22"/>
        </w:rPr>
        <w:t>主标题</w:t>
      </w:r>
    </w:p>
    <w:p>
      <w:pPr>
        <w:spacing w:before="120" w:after="120" w:line="288" w:lineRule="auto"/>
        <w:ind w:left="0"/>
        <w:jc w:val="left"/>
      </w:pPr>
      <w:r>
        <w:rPr>
          <w:rFonts w:eastAsia="等线" w:ascii="Arial" w:cs="Arial" w:hAnsi="Arial"/>
          <w:b w:val="true"/>
          <w:sz w:val="22"/>
          <w:shd w:fill="fff67a"/>
        </w:rPr>
        <w:t xml:space="preserve">从数据到表达，一套能力完成专业级输出 </w:t>
      </w:r>
    </w:p>
    <w:p>
      <w:pPr>
        <w:spacing w:before="120" w:after="120" w:line="288" w:lineRule="auto"/>
        <w:ind w:left="0"/>
        <w:jc w:val="left"/>
      </w:pPr>
      <w:r>
        <w:rPr>
          <w:rFonts w:eastAsia="等线" w:ascii="Arial" w:cs="Arial" w:hAnsi="Arial"/>
          <w:b w:val="true"/>
          <w:sz w:val="22"/>
        </w:rPr>
        <w:t>副标题</w:t>
      </w:r>
    </w:p>
    <w:p>
      <w:pPr>
        <w:spacing w:before="120" w:after="120" w:line="288" w:lineRule="auto"/>
        <w:ind w:left="0"/>
        <w:jc w:val="left"/>
      </w:pPr>
      <w:r>
        <w:rPr>
          <w:rFonts w:eastAsia="等线" w:ascii="Arial" w:cs="Arial" w:hAnsi="Arial"/>
          <w:b w:val="true"/>
          <w:sz w:val="22"/>
          <w:shd w:fill="fff67a"/>
        </w:rPr>
        <w:t>爱图表企业版面向政务、媒体与企业核心数据表达场景，一键生成可直接用于汇报、发布与传播的专业数据内容。</w:t>
      </w:r>
    </w:p>
    <w:p>
      <w:pPr>
        <w:spacing w:before="120" w:after="120" w:line="288" w:lineRule="auto"/>
        <w:ind w:left="0"/>
        <w:jc w:val="left"/>
      </w:pPr>
      <w:r>
        <w:rPr>
          <w:rFonts w:eastAsia="等线" w:ascii="Arial" w:cs="Arial" w:hAnsi="Arial"/>
          <w:b w:val="true"/>
          <w:sz w:val="22"/>
        </w:rPr>
        <w:t>按钮</w:t>
      </w:r>
    </w:p>
    <w:p>
      <w:pPr>
        <w:spacing w:before="120" w:after="120" w:line="288" w:lineRule="auto"/>
        <w:ind w:left="0"/>
        <w:jc w:val="left"/>
      </w:pPr>
      <w:r>
        <w:rPr>
          <w:rFonts w:eastAsia="等线" w:ascii="Arial" w:cs="Arial" w:hAnsi="Arial"/>
          <w:b w:val="true"/>
          <w:sz w:val="22"/>
        </w:rPr>
        <w:t>免费申请企业试用、查看应用场景</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卖点</w:t>
      </w:r>
      <w:bookmarkEnd w:id="1"/>
    </w:p>
    <w:p>
      <w:pPr>
        <w:spacing w:before="120" w:after="120" w:line="288" w:lineRule="auto"/>
        <w:ind w:left="0"/>
        <w:jc w:val="left"/>
      </w:pPr>
      <w:r>
        <w:rPr>
          <w:rFonts w:eastAsia="等线" w:ascii="Arial" w:cs="Arial" w:hAnsi="Arial"/>
          <w:b w:val="true"/>
          <w:sz w:val="22"/>
        </w:rPr>
        <w:t>一套能直接进入组织流程的 AI 图表 Skill 能力</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1770"/>
        <w:gridCol w:w="2175"/>
        <w:gridCol w:w="2355"/>
      </w:tblGrid>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更快成稿</w:t>
            </w:r>
          </w:p>
          <w:p>
            <w:pPr>
              <w:spacing w:before="120" w:after="120" w:line="288" w:lineRule="auto"/>
              <w:ind w:left="0"/>
              <w:jc w:val="left"/>
            </w:pPr>
            <w:r>
              <w:rPr>
                <w:rFonts w:eastAsia="等线" w:ascii="Arial" w:cs="Arial" w:hAnsi="Arial"/>
                <w:sz w:val="22"/>
              </w:rPr>
              <w:t>专题内容文件上传即刻生成</w:t>
            </w:r>
          </w:p>
          <w:p>
            <w:pPr>
              <w:spacing w:before="120" w:after="120" w:line="288" w:lineRule="auto"/>
              <w:ind w:left="0"/>
              <w:jc w:val="left"/>
            </w:pPr>
            <w:r>
              <w:rPr>
                <w:rFonts w:eastAsia="等线" w:ascii="Arial" w:cs="Arial" w:hAnsi="Arial"/>
                <w:sz w:val="22"/>
              </w:rPr>
              <w:t>AI 懂你，无需大面积修改。</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更像成品</w:t>
            </w:r>
          </w:p>
          <w:p>
            <w:pPr>
              <w:spacing w:before="120" w:after="120" w:line="288" w:lineRule="auto"/>
              <w:ind w:left="0"/>
              <w:jc w:val="left"/>
            </w:pPr>
            <w:r>
              <w:rPr>
                <w:rFonts w:eastAsia="等线" w:ascii="Arial" w:cs="Arial" w:hAnsi="Arial"/>
                <w:sz w:val="22"/>
                <w:shd w:fill="fff67a"/>
              </w:rPr>
              <w:t>输出即符合正式发布标准</w:t>
            </w:r>
          </w:p>
          <w:p>
            <w:pPr>
              <w:spacing w:before="120" w:after="120" w:line="288" w:lineRule="auto"/>
              <w:ind w:left="0"/>
              <w:jc w:val="left"/>
            </w:pPr>
            <w:r>
              <w:rPr>
                <w:rFonts w:eastAsia="等线" w:ascii="Arial" w:cs="Arial" w:hAnsi="Arial"/>
                <w:sz w:val="22"/>
                <w:shd w:fill="fff67a"/>
              </w:rPr>
              <w:t xml:space="preserve"> 可直接用于汇报 / 发布 / 传播。</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更好集成</w:t>
            </w:r>
          </w:p>
          <w:p>
            <w:pPr>
              <w:spacing w:before="120" w:after="120" w:line="288" w:lineRule="auto"/>
              <w:ind w:left="0"/>
              <w:jc w:val="left"/>
            </w:pPr>
            <w:r>
              <w:rPr>
                <w:rFonts w:eastAsia="等线" w:ascii="Arial" w:cs="Arial" w:hAnsi="Arial"/>
                <w:sz w:val="22"/>
              </w:rPr>
              <w:t>Skill 能力可组合接入</w:t>
            </w:r>
          </w:p>
          <w:p>
            <w:pPr>
              <w:spacing w:before="120" w:after="120" w:line="288" w:lineRule="auto"/>
              <w:ind w:left="0"/>
              <w:jc w:val="left"/>
            </w:pPr>
            <w:r>
              <w:rPr>
                <w:rFonts w:eastAsia="等线" w:ascii="Arial" w:cs="Arial" w:hAnsi="Arial"/>
                <w:sz w:val="22"/>
              </w:rPr>
              <w:t>支持数据、图表、图文、PPT、大屏等 Skill 能力组合复用。</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更安全落地</w:t>
            </w:r>
          </w:p>
          <w:p>
            <w:pPr>
              <w:spacing w:before="120" w:after="120" w:line="288" w:lineRule="auto"/>
              <w:ind w:left="0"/>
              <w:jc w:val="left"/>
            </w:pPr>
            <w:r>
              <w:rPr>
                <w:rFonts w:eastAsia="等线" w:ascii="Arial" w:cs="Arial" w:hAnsi="Arial"/>
                <w:sz w:val="22"/>
              </w:rPr>
              <w:t>支持本地化与私有化部署</w:t>
            </w:r>
          </w:p>
          <w:p>
            <w:pPr>
              <w:spacing w:before="120" w:after="120" w:line="288" w:lineRule="auto"/>
              <w:ind w:left="0"/>
              <w:jc w:val="left"/>
            </w:pPr>
            <w:r>
              <w:rPr>
                <w:rFonts w:eastAsia="等线" w:ascii="Arial" w:cs="Arial" w:hAnsi="Arial"/>
                <w:sz w:val="22"/>
              </w:rPr>
              <w:t>支持本地化、私有化与专网部署，让敏感数据留在自己的环境里。</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2280"/>
        <w:gridCol w:w="1695"/>
        <w:gridCol w:w="2385"/>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秒级</w:t>
            </w:r>
            <w:r>
              <w:rPr>
                <w:rFonts w:eastAsia="等线" w:ascii="Arial" w:cs="Arial" w:hAnsi="Arial"/>
                <w:sz w:val="22"/>
              </w:rPr>
              <w:t>内容自动生成</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w:t>
            </w:r>
            <w:r>
              <w:rPr>
                <w:rFonts w:eastAsia="等线" w:ascii="Arial" w:cs="Arial" w:hAnsi="Arial"/>
                <w:sz w:val="22"/>
              </w:rPr>
              <w:t>行业垂直场景模板</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80%+</w:t>
            </w:r>
            <w:r>
              <w:rPr>
                <w:rFonts w:eastAsia="等线" w:ascii="Arial" w:cs="Arial" w:hAnsi="Arial"/>
                <w:sz w:val="22"/>
              </w:rPr>
              <w:t>图文、视频制作时间提效</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多种部署方案</w:t>
            </w:r>
            <w:r>
              <w:rPr>
                <w:rFonts w:eastAsia="等线" w:ascii="Arial" w:cs="Arial" w:hAnsi="Arial"/>
                <w:sz w:val="22"/>
              </w:rPr>
              <w:t>部署与应用方式灵活可选</w:t>
            </w:r>
          </w:p>
        </w:tc>
      </w:tr>
    </w:tbl>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痛点</w:t>
      </w:r>
      <w:bookmarkEnd w:id="2"/>
    </w:p>
    <w:p>
      <w:pPr>
        <w:spacing w:before="120" w:after="120" w:line="288" w:lineRule="auto"/>
        <w:ind w:left="0"/>
        <w:jc w:val="left"/>
      </w:pPr>
      <w:r>
        <w:rPr>
          <w:rFonts w:eastAsia="等线" w:ascii="Arial" w:cs="Arial" w:hAnsi="Arial"/>
          <w:b w:val="true"/>
          <w:sz w:val="22"/>
        </w:rPr>
        <w:t>数据表达总被拖慢</w:t>
      </w:r>
    </w:p>
    <w:p>
      <w:pPr>
        <w:spacing w:before="120" w:after="120" w:line="288" w:lineRule="auto"/>
        <w:ind w:left="0"/>
        <w:jc w:val="left"/>
      </w:pPr>
      <w:r>
        <w:rPr>
          <w:rFonts w:eastAsia="等线" w:ascii="Arial" w:cs="Arial" w:hAnsi="Arial"/>
          <w:sz w:val="22"/>
        </w:rPr>
        <w:t>从做一份像样材料，到图表质量、数据更新和安全落地，问题往往不是单点出现，而是整条交付链路一起变慢。</w:t>
      </w:r>
    </w:p>
    <w:p>
      <w:pPr>
        <w:spacing w:before="120" w:after="120" w:line="288" w:lineRule="auto"/>
        <w:ind w:left="0"/>
        <w:jc w:val="left"/>
      </w:pPr>
      <w:r>
        <w:rPr>
          <w:rFonts w:eastAsia="等线" w:ascii="Arial" w:cs="Arial" w:hAnsi="Arial"/>
          <w:b w:val="true"/>
          <w:sz w:val="22"/>
        </w:rPr>
        <w:t>旧流程 vs Skill 化流程</w:t>
      </w:r>
    </w:p>
    <w:p>
      <w:pPr>
        <w:spacing w:before="120" w:after="120" w:line="288" w:lineRule="auto"/>
        <w:ind w:left="0"/>
        <w:jc w:val="left"/>
      </w:pPr>
      <w:r>
        <w:rPr>
          <w:rFonts w:eastAsia="等线" w:ascii="Arial" w:cs="Arial" w:hAnsi="Arial"/>
          <w:b w:val="true"/>
          <w:sz w:val="22"/>
        </w:rPr>
        <w:t>把分散、低效的数据表达流程，变成一条可复用的高效工作路径</w:t>
      </w:r>
    </w:p>
    <w:p>
      <w:pPr>
        <w:spacing w:before="120" w:after="120" w:line="288" w:lineRule="auto"/>
        <w:ind w:left="0"/>
        <w:jc w:val="left"/>
      </w:pPr>
      <w:r>
        <w:rPr>
          <w:rFonts w:eastAsia="等线" w:ascii="Arial" w:cs="Arial" w:hAnsi="Arial"/>
          <w:sz w:val="22"/>
        </w:rPr>
        <w:t>做材料周期长、图表不专业、数据一改就返工、敏感数据无法上云，这些问题，不再分散出现，而是在一套统一流程中被一次性解决。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4260"/>
        <w:gridCol w:w="1890"/>
      </w:tblGrid>
      <w:tr>
        <w:tc>
          <w:tcPr>
            <w:tcW w:w="1500" w:type="dxa"/>
            <w:tcMar>
              <w:top w:type="dxa" w:w="60"/>
              <w:left w:type="dxa" w:w="120"/>
              <w:bottom w:type="dxa" w:w="30"/>
              <w:right w:type="dxa" w:w="120"/>
            </w:tcMar>
          </w:tcPr>
          <w:p>
            <w:pPr>
              <w:spacing w:before="120" w:after="120" w:line="288" w:lineRule="auto"/>
              <w:ind w:left="0"/>
              <w:jc w:val="left"/>
            </w:pP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传统流程</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Skill 化流程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成稿效率</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分析、设计、汇报反复来回，</w:t>
            </w:r>
            <w:r>
              <w:rPr>
                <w:rFonts w:eastAsia="等线" w:ascii="Arial" w:cs="Arial" w:hAnsi="Arial"/>
                <w:b w:val="true"/>
                <w:sz w:val="22"/>
              </w:rPr>
              <w:t>1-3 天</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 分钟级</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图表质量</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粗糙、重点不清、正式场合掉分，</w:t>
            </w:r>
            <w:r>
              <w:rPr>
                <w:rFonts w:eastAsia="等线" w:ascii="Arial" w:cs="Arial" w:hAnsi="Arial"/>
                <w:b w:val="true"/>
                <w:sz w:val="22"/>
              </w:rPr>
              <w:t>样式普通</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直接成品</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数据更新</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月报季报一改数就整套返工，</w:t>
            </w:r>
            <w:r>
              <w:rPr>
                <w:rFonts w:eastAsia="等线" w:ascii="Arial" w:cs="Arial" w:hAnsi="Arial"/>
                <w:b w:val="true"/>
                <w:sz w:val="22"/>
              </w:rPr>
              <w:t>重复搬运</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自动刷新</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安全落地</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敏感数据无法放心上云，</w:t>
            </w:r>
            <w:r>
              <w:rPr>
                <w:rFonts w:eastAsia="等线" w:ascii="Arial" w:cs="Arial" w:hAnsi="Arial"/>
                <w:b w:val="true"/>
                <w:sz w:val="22"/>
              </w:rPr>
              <w:t>工具受限</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私有化部署</w:t>
            </w:r>
          </w:p>
        </w:tc>
      </w:tr>
    </w:tbl>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Skill</w:t>
      </w:r>
      <w:bookmarkEnd w:id="3"/>
    </w:p>
    <w:p>
      <w:pPr>
        <w:spacing w:before="120" w:after="120" w:line="288" w:lineRule="auto"/>
        <w:ind w:left="0"/>
        <w:jc w:val="left"/>
      </w:pPr>
      <w:r>
        <w:rPr>
          <w:rFonts w:eastAsia="等线" w:ascii="Arial" w:cs="Arial" w:hAnsi="Arial"/>
          <w:b w:val="true"/>
          <w:sz w:val="22"/>
        </w:rPr>
        <w:t>把能力装进流程，而不是只给你一个工具</w:t>
      </w:r>
    </w:p>
    <w:p>
      <w:pPr>
        <w:spacing w:before="120" w:after="120" w:line="288" w:lineRule="auto"/>
        <w:ind w:left="0"/>
        <w:jc w:val="left"/>
      </w:pPr>
      <w:r>
        <w:rPr>
          <w:rFonts w:eastAsia="等线" w:ascii="Arial" w:cs="Arial" w:hAnsi="Arial"/>
          <w:sz w:val="22"/>
        </w:rPr>
        <w:t>爱图表企业版提供数据 Skill 、图表 Skill、图文 Skill、PPT Skill、大屏 Skill等能力，把能力沉淀为可调用、可集成、可私有化部署的组织能力单元，更适合长期使用，而不是停留在单点 SaaS 订阅。</w:t>
      </w:r>
    </w:p>
    <w:p>
      <w:pPr>
        <w:spacing w:before="120" w:after="120" w:line="288" w:lineRule="auto"/>
        <w:ind w:left="0"/>
        <w:jc w:val="left"/>
      </w:pPr>
      <w:r>
        <w:rPr>
          <w:rFonts w:eastAsia="等线" w:ascii="Arial" w:cs="Arial" w:hAnsi="Arial"/>
          <w:b w:val="true"/>
          <w:sz w:val="22"/>
        </w:rPr>
        <w:t>从“买工具”，升级为“把能力装进业务流程”</w:t>
      </w:r>
    </w:p>
    <w:p>
      <w:pPr>
        <w:spacing w:before="120" w:after="120" w:line="288" w:lineRule="auto"/>
        <w:ind w:left="0"/>
        <w:jc w:val="left"/>
      </w:pPr>
      <w:r>
        <w:rPr>
          <w:rFonts w:eastAsia="等线" w:ascii="Arial" w:cs="Arial" w:hAnsi="Arial"/>
          <w:sz w:val="22"/>
        </w:rPr>
        <w:t>不再只是一个做图工具，而是把数据处理、可视化表达、内容生成与汇报输出能力，直接嵌入你的业务系统与日常工作流程中。</w:t>
      </w:r>
    </w:p>
    <w:p>
      <w:pPr>
        <w:spacing w:before="120" w:after="120" w:line="288" w:lineRule="auto"/>
        <w:ind w:left="0"/>
        <w:jc w:val="left"/>
      </w:pPr>
      <w:r>
        <w:rPr>
          <w:rFonts w:eastAsia="等线" w:ascii="Arial" w:cs="Arial" w:hAnsi="Arial"/>
          <w:b w:val="true"/>
          <w:sz w:val="22"/>
        </w:rPr>
        <w:t>按 Token 计费、API 接口开放、私有化部署、无席位限制、高并发调用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652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 Skill</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提供官方权威统计数据来源，支持文件、数据库、API等数据接入</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图表 Skill</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把汇报、发布、报告里的数据表达做成标准能力</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图文 Skill</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把图表和配图、传播内容一起打通</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PPT Skill</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把正式汇报内容更快装进演示文稿流程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大屏 Skill</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适配大屏展示、指挥调度和实时可视化场景</w:t>
            </w:r>
          </w:p>
        </w:tc>
      </w:tr>
    </w:tbl>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应用场景</w:t>
      </w:r>
      <w:bookmarkEnd w:id="4"/>
    </w:p>
    <w:p>
      <w:pPr>
        <w:spacing w:before="120" w:after="120" w:line="288" w:lineRule="auto"/>
        <w:ind w:left="0"/>
        <w:jc w:val="left"/>
      </w:pPr>
      <w:r>
        <w:rPr>
          <w:rFonts w:eastAsia="等线" w:ascii="Arial" w:cs="Arial" w:hAnsi="Arial"/>
          <w:b w:val="true"/>
          <w:sz w:val="22"/>
        </w:rPr>
        <w:t>不同行业都在做数据表达，但真正难的是把结果稳定交付出来</w:t>
      </w:r>
    </w:p>
    <w:p>
      <w:pPr>
        <w:spacing w:before="120" w:after="120" w:line="288" w:lineRule="auto"/>
        <w:ind w:left="0"/>
        <w:jc w:val="left"/>
      </w:pPr>
      <w:r>
        <w:rPr>
          <w:rFonts w:eastAsia="等线" w:ascii="Arial" w:cs="Arial" w:hAnsi="Arial"/>
          <w:b w:val="true"/>
          <w:sz w:val="22"/>
        </w:rPr>
        <w:t>政务机关：让政绩可见，让决策有据</w:t>
      </w:r>
    </w:p>
    <w:p>
      <w:pPr>
        <w:spacing w:before="120" w:after="120" w:line="288" w:lineRule="auto"/>
        <w:ind w:left="0"/>
        <w:jc w:val="left"/>
      </w:pPr>
      <w:r>
        <w:rPr>
          <w:rFonts w:eastAsia="等线" w:ascii="Arial" w:cs="Arial" w:hAnsi="Arial"/>
          <w:sz w:val="22"/>
        </w:rPr>
        <w:t>适合年度工作报告、专题专报、民生数据发布、营商环境发布等正式场景，既要讲清楚，也要足够权威。</w:t>
      </w:r>
    </w:p>
    <w:p>
      <w:pPr>
        <w:numPr>
          <w:numId w:val="1"/>
        </w:numPr>
        <w:spacing w:before="120" w:after="120" w:line="288" w:lineRule="auto"/>
        <w:ind w:left="0"/>
        <w:jc w:val="left"/>
      </w:pPr>
      <w:r>
        <w:rPr>
          <w:rFonts w:eastAsia="等线" w:ascii="Arial" w:cs="Arial" w:hAnsi="Arial"/>
          <w:sz w:val="22"/>
        </w:rPr>
        <w:t>工作报告可视化：把民生、财政、项目进度讲得更清楚。</w:t>
      </w:r>
    </w:p>
    <w:p>
      <w:pPr>
        <w:numPr>
          <w:numId w:val="2"/>
        </w:numPr>
        <w:spacing w:before="120" w:after="120" w:line="288" w:lineRule="auto"/>
        <w:ind w:left="0"/>
        <w:jc w:val="left"/>
      </w:pPr>
      <w:r>
        <w:rPr>
          <w:rFonts w:eastAsia="等线" w:ascii="Arial" w:cs="Arial" w:hAnsi="Arial"/>
          <w:sz w:val="22"/>
        </w:rPr>
        <w:t>决策分析专报：让多维数据更快形成趋势判断和决策参考。</w:t>
      </w:r>
    </w:p>
    <w:p>
      <w:pPr>
        <w:numPr>
          <w:numId w:val="3"/>
        </w:numPr>
        <w:spacing w:before="120" w:after="120" w:line="288" w:lineRule="auto"/>
        <w:ind w:left="0"/>
        <w:jc w:val="left"/>
      </w:pPr>
      <w:r>
        <w:rPr>
          <w:rFonts w:eastAsia="等线" w:ascii="Arial" w:cs="Arial" w:hAnsi="Arial"/>
          <w:sz w:val="22"/>
        </w:rPr>
        <w:t>数字政务发布：让公开表达更清晰，也更有公信力。</w:t>
      </w:r>
    </w:p>
    <w:p>
      <w:pPr>
        <w:spacing w:before="120" w:after="120" w:line="288" w:lineRule="auto"/>
        <w:ind w:left="0"/>
        <w:jc w:val="left"/>
      </w:pPr>
      <w:r>
        <w:rPr>
          <w:rFonts w:eastAsia="等线" w:ascii="Arial" w:cs="Arial" w:hAnsi="Arial"/>
          <w:b w:val="true"/>
          <w:sz w:val="22"/>
        </w:rPr>
        <w:t>媒体与宣传：数据新闻，视觉化传播</w:t>
      </w:r>
    </w:p>
    <w:p>
      <w:pPr>
        <w:spacing w:before="120" w:after="120" w:line="288" w:lineRule="auto"/>
        <w:ind w:left="0"/>
        <w:jc w:val="left"/>
      </w:pPr>
      <w:r>
        <w:rPr>
          <w:rFonts w:eastAsia="等线" w:ascii="Arial" w:cs="Arial" w:hAnsi="Arial"/>
          <w:sz w:val="22"/>
        </w:rPr>
        <w:t>官方媒体、企业宣传部门、新媒体运营团队，每天需要将枯燥数据变成可读性强的视觉内容，提升内容传播力与公信力。</w:t>
      </w:r>
    </w:p>
    <w:p>
      <w:pPr>
        <w:numPr>
          <w:numId w:val="4"/>
        </w:numPr>
        <w:spacing w:before="120" w:after="120" w:line="288" w:lineRule="auto"/>
        <w:ind w:left="0"/>
        <w:jc w:val="left"/>
      </w:pPr>
      <w:r>
        <w:rPr>
          <w:rFonts w:eastAsia="等线" w:ascii="Arial" w:cs="Arial" w:hAnsi="Arial"/>
          <w:sz w:val="22"/>
        </w:rPr>
        <w:t>数据新闻配图：经济数据、社会调查，AI 秒出信息图，媒体内容产出效率提升数倍。</w:t>
      </w:r>
    </w:p>
    <w:p>
      <w:pPr>
        <w:numPr>
          <w:numId w:val="5"/>
        </w:numPr>
        <w:spacing w:before="120" w:after="120" w:line="288" w:lineRule="auto"/>
        <w:ind w:left="0"/>
        <w:jc w:val="left"/>
      </w:pPr>
      <w:r>
        <w:rPr>
          <w:rFonts w:eastAsia="等线" w:ascii="Arial" w:cs="Arial" w:hAnsi="Arial"/>
          <w:sz w:val="22"/>
        </w:rPr>
        <w:t>政务新媒体运营：政绩数字可视化，官方账号内容更生动，粉丝互动率显著提升。</w:t>
      </w:r>
    </w:p>
    <w:p>
      <w:pPr>
        <w:numPr>
          <w:numId w:val="6"/>
        </w:numPr>
        <w:spacing w:before="120" w:after="120" w:line="288" w:lineRule="auto"/>
        <w:ind w:left="0"/>
        <w:jc w:val="left"/>
      </w:pPr>
      <w:r>
        <w:rPr>
          <w:rFonts w:eastAsia="等线" w:ascii="Arial" w:cs="Arial" w:hAnsi="Arial"/>
          <w:sz w:val="22"/>
        </w:rPr>
        <w:t>专题传播重大节点、重点主题，快速生成成体系的数据可视化内容，从选题到成稿一体化输出，让专题更有深度与传播力。</w:t>
      </w:r>
    </w:p>
    <w:p>
      <w:pPr>
        <w:spacing w:before="120" w:after="120" w:line="288" w:lineRule="auto"/>
        <w:ind w:left="0"/>
        <w:jc w:val="left"/>
      </w:pPr>
      <w:r>
        <w:rPr>
          <w:rFonts w:eastAsia="等线" w:ascii="Arial" w:cs="Arial" w:hAnsi="Arial"/>
          <w:b w:val="true"/>
          <w:sz w:val="22"/>
        </w:rPr>
        <w:t>金融机构：把报告周期从“按天算”压缩到“按小时算”</w:t>
      </w:r>
    </w:p>
    <w:p>
      <w:pPr>
        <w:spacing w:before="120" w:after="120" w:line="288" w:lineRule="auto"/>
        <w:ind w:left="0"/>
        <w:jc w:val="left"/>
      </w:pPr>
      <w:r>
        <w:rPr>
          <w:rFonts w:eastAsia="等线" w:ascii="Arial" w:cs="Arial" w:hAnsi="Arial"/>
          <w:sz w:val="22"/>
        </w:rPr>
        <w:t>银行、基金、券商、保险每天面临大量研报、客户汇报、内部风控报告需求，将数据处理周期从"天"压缩到"小时"，让分析师聚焦核心洞察而非图表排版。</w:t>
      </w:r>
    </w:p>
    <w:p>
      <w:pPr>
        <w:numPr>
          <w:numId w:val="7"/>
        </w:numPr>
        <w:spacing w:before="120" w:after="120" w:line="288" w:lineRule="auto"/>
        <w:ind w:left="0"/>
        <w:jc w:val="left"/>
      </w:pPr>
      <w:r>
        <w:rPr>
          <w:rFonts w:eastAsia="等线" w:ascii="Arial" w:cs="Arial" w:hAnsi="Arial"/>
          <w:sz w:val="22"/>
        </w:rPr>
        <w:t>投研报告可视化：行业数据、财务指标、估值对比，智能推荐最优图表类型，一键导出 PDF/PNG。</w:t>
      </w:r>
    </w:p>
    <w:p>
      <w:pPr>
        <w:numPr>
          <w:numId w:val="8"/>
        </w:numPr>
        <w:spacing w:before="120" w:after="120" w:line="288" w:lineRule="auto"/>
        <w:ind w:left="0"/>
        <w:jc w:val="left"/>
      </w:pPr>
      <w:r>
        <w:rPr>
          <w:rFonts w:eastAsia="等线" w:ascii="Arial" w:cs="Arial" w:hAnsi="Arial"/>
          <w:sz w:val="22"/>
        </w:rPr>
        <w:t>月度经营看板：资产规模、贷款结构、不良率变化，实时数据驱动，数据更新图表自动刷新。</w:t>
      </w:r>
    </w:p>
    <w:p>
      <w:pPr>
        <w:numPr>
          <w:numId w:val="9"/>
        </w:numPr>
        <w:spacing w:before="120" w:after="120" w:line="288" w:lineRule="auto"/>
        <w:ind w:left="0"/>
        <w:jc w:val="left"/>
      </w:pPr>
      <w:r>
        <w:rPr>
          <w:rFonts w:eastAsia="等线" w:ascii="Arial" w:cs="Arial" w:hAnsi="Arial"/>
          <w:sz w:val="22"/>
        </w:rPr>
        <w:t>客户产品推介：高净值客户投资组合展示，专业美观，一图建立客户信任感。</w:t>
      </w:r>
    </w:p>
    <w:p>
      <w:pPr>
        <w:numPr>
          <w:numId w:val="10"/>
        </w:numPr>
        <w:spacing w:before="120" w:after="120" w:line="288" w:lineRule="auto"/>
        <w:ind w:left="0"/>
        <w:jc w:val="left"/>
      </w:pPr>
      <w:r>
        <w:rPr>
          <w:rFonts w:eastAsia="等线" w:ascii="Arial" w:cs="Arial" w:hAnsi="Arial"/>
          <w:sz w:val="22"/>
        </w:rPr>
        <w:t>数据隔离部署：支持本地化/私有云部署，满足金融监管合规要求。</w:t>
      </w:r>
    </w:p>
    <w:p>
      <w:pPr>
        <w:spacing w:before="120" w:after="120" w:line="288" w:lineRule="auto"/>
        <w:ind w:left="0"/>
        <w:jc w:val="left"/>
      </w:pPr>
      <w:r>
        <w:rPr>
          <w:rFonts w:eastAsia="等线" w:ascii="Arial" w:cs="Arial" w:hAnsi="Arial"/>
          <w:b w:val="true"/>
          <w:sz w:val="22"/>
        </w:rPr>
        <w:t>企业：经营数据，从看不清到一目了然</w:t>
      </w:r>
    </w:p>
    <w:p>
      <w:pPr>
        <w:spacing w:before="120" w:after="120" w:line="288" w:lineRule="auto"/>
        <w:ind w:left="0"/>
        <w:jc w:val="left"/>
      </w:pPr>
      <w:r>
        <w:rPr>
          <w:rFonts w:eastAsia="等线" w:ascii="Arial" w:cs="Arial" w:hAnsi="Arial"/>
          <w:sz w:val="22"/>
        </w:rPr>
        <w:t>集团总部汇报、战略会议、董事会材料……每一个重要时刻都需要高质量的数据呈现。爱图表让各层级人员都能自助生成专业图表，彻底释放数据部门产能。</w:t>
      </w:r>
    </w:p>
    <w:p>
      <w:pPr>
        <w:numPr>
          <w:numId w:val="11"/>
        </w:numPr>
        <w:spacing w:before="120" w:after="120" w:line="288" w:lineRule="auto"/>
        <w:ind w:left="0"/>
        <w:jc w:val="left"/>
      </w:pPr>
      <w:r>
        <w:rPr>
          <w:rFonts w:eastAsia="等线" w:ascii="Arial" w:cs="Arial" w:hAnsi="Arial"/>
          <w:sz w:val="22"/>
        </w:rPr>
        <w:t>集团月度/季报：多分子公司数据整合，自动生成对比分析，领导层一眼看清经营全貌。</w:t>
      </w:r>
    </w:p>
    <w:p>
      <w:pPr>
        <w:numPr>
          <w:numId w:val="12"/>
        </w:numPr>
        <w:spacing w:before="120" w:after="120" w:line="288" w:lineRule="auto"/>
        <w:ind w:left="0"/>
        <w:jc w:val="left"/>
      </w:pPr>
      <w:r>
        <w:rPr>
          <w:rFonts w:eastAsia="等线" w:ascii="Arial" w:cs="Arial" w:hAnsi="Arial"/>
          <w:sz w:val="22"/>
        </w:rPr>
        <w:t>销售业绩追踪：区域达成率、产品结构、客户画像，实时更新，销售管理更有力。</w:t>
      </w:r>
    </w:p>
    <w:p>
      <w:pPr>
        <w:numPr>
          <w:numId w:val="13"/>
        </w:numPr>
        <w:spacing w:before="120" w:after="120" w:line="288" w:lineRule="auto"/>
        <w:ind w:left="0"/>
        <w:jc w:val="left"/>
      </w:pPr>
      <w:r>
        <w:rPr>
          <w:rFonts w:eastAsia="等线" w:ascii="Arial" w:cs="Arial" w:hAnsi="Arial"/>
          <w:sz w:val="22"/>
        </w:rPr>
        <w:t>战略汇报材料：市场份额、行业对标、五年规划，AI 辅助生成高质感图表，董事会汇报气场全开。</w:t>
      </w:r>
    </w:p>
    <w:p>
      <w:pPr>
        <w:numPr>
          <w:numId w:val="14"/>
        </w:numPr>
        <w:spacing w:before="120" w:after="120" w:line="288" w:lineRule="auto"/>
        <w:ind w:left="0"/>
        <w:jc w:val="left"/>
      </w:pPr>
      <w:r>
        <w:rPr>
          <w:rFonts w:eastAsia="等线" w:ascii="Arial" w:cs="Arial" w:hAnsi="Arial"/>
          <w:sz w:val="22"/>
        </w:rPr>
        <w:t>品牌统一规范：全公司图表风格统一，对外输出材料专业有序，品牌形象大幅提升。</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应用场景案例</w:t>
      </w:r>
      <w:bookmarkEnd w:id="5"/>
    </w:p>
    <w:p>
      <w:pPr>
        <w:spacing w:before="120" w:after="120" w:line="288" w:lineRule="auto"/>
        <w:ind w:left="0"/>
        <w:jc w:val="left"/>
      </w:pPr>
      <w:r>
        <w:rPr>
          <w:rFonts w:eastAsia="等线" w:ascii="Arial" w:cs="Arial" w:hAnsi="Arial"/>
          <w:sz w:val="22"/>
        </w:rPr>
        <w:t>媒体传播型信息图</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74"/>
        <w:gridCol w:w="4205"/>
      </w:tblGrid>
      <w:tr>
        <w:tc>
          <w:tcPr>
            <w:tcW w:w="4074" w:type="dxa"/>
            <w:tcMar>
              <w:top w:type="dxa" w:w="60"/>
              <w:left w:type="dxa" w:w="120"/>
              <w:bottom w:type="dxa" w:w="30"/>
              <w:right w:type="dxa" w:w="120"/>
            </w:tcMar>
          </w:tcPr>
          <w:p>
            <w:pPr>
              <w:spacing w:before="120" w:after="120" w:line="288" w:lineRule="auto"/>
              <w:ind w:left="0"/>
              <w:jc w:val="center"/>
            </w:pPr>
            <w:r>
              <w:drawing>
                <wp:inline distT="0" distR="0" distB="0" distL="0">
                  <wp:extent cx="2428875" cy="3629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28875" cy="3629025"/>
                          </a:xfrm>
                          <a:prstGeom prst="rect">
                            <a:avLst/>
                          </a:prstGeom>
                        </pic:spPr>
                      </pic:pic>
                    </a:graphicData>
                  </a:graphic>
                </wp:inline>
              </w:drawing>
            </w:r>
          </w:p>
        </w:tc>
        <w:tc>
          <w:tcPr>
            <w:tcW w:w="4205" w:type="dxa"/>
            <w:tcMar>
              <w:top w:type="dxa" w:w="60"/>
              <w:left w:type="dxa" w:w="120"/>
              <w:bottom w:type="dxa" w:w="30"/>
              <w:right w:type="dxa" w:w="120"/>
            </w:tcMar>
          </w:tcPr>
          <w:p>
            <w:pPr>
              <w:spacing w:before="120" w:after="120" w:line="288" w:lineRule="auto"/>
              <w:ind w:left="0"/>
              <w:jc w:val="center"/>
            </w:pPr>
            <w:r>
              <w:drawing>
                <wp:inline distT="0" distR="0" distB="0" distL="0">
                  <wp:extent cx="2514600" cy="3638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514600" cy="36385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政务表达型信息图</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17"/>
        <w:gridCol w:w="4462"/>
      </w:tblGrid>
      <w:tr>
        <w:tc>
          <w:tcPr>
            <w:tcW w:w="3817" w:type="dxa"/>
            <w:tcMar>
              <w:top w:type="dxa" w:w="60"/>
              <w:left w:type="dxa" w:w="120"/>
              <w:bottom w:type="dxa" w:w="30"/>
              <w:right w:type="dxa" w:w="120"/>
            </w:tcMar>
          </w:tcPr>
          <w:p>
            <w:pPr>
              <w:spacing w:before="120" w:after="120" w:line="288" w:lineRule="auto"/>
              <w:ind w:left="0"/>
              <w:jc w:val="center"/>
            </w:pPr>
            <w:r>
              <w:drawing>
                <wp:inline distT="0" distR="0" distB="0" distL="0">
                  <wp:extent cx="2266950" cy="4819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266950" cy="4819650"/>
                          </a:xfrm>
                          <a:prstGeom prst="rect">
                            <a:avLst/>
                          </a:prstGeom>
                        </pic:spPr>
                      </pic:pic>
                    </a:graphicData>
                  </a:graphic>
                </wp:inline>
              </w:drawing>
            </w:r>
          </w:p>
        </w:tc>
        <w:tc>
          <w:tcPr>
            <w:tcW w:w="4462" w:type="dxa"/>
            <w:tcMar>
              <w:top w:type="dxa" w:w="60"/>
              <w:left w:type="dxa" w:w="120"/>
              <w:bottom w:type="dxa" w:w="30"/>
              <w:right w:type="dxa" w:w="120"/>
            </w:tcMar>
          </w:tcPr>
          <w:p>
            <w:pPr>
              <w:spacing w:before="120" w:after="120" w:line="288" w:lineRule="auto"/>
              <w:ind w:left="0"/>
              <w:jc w:val="center"/>
            </w:pPr>
            <w:r>
              <w:drawing>
                <wp:inline distT="0" distR="0" distB="0" distL="0">
                  <wp:extent cx="2676525" cy="4867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676525" cy="4867275"/>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13"/>
        <w:gridCol w:w="4166"/>
      </w:tblGrid>
      <w:tr>
        <w:tc>
          <w:tcPr>
            <w:tcW w:w="4113" w:type="dxa"/>
            <w:tcMar>
              <w:top w:type="dxa" w:w="60"/>
              <w:left w:type="dxa" w:w="120"/>
              <w:bottom w:type="dxa" w:w="30"/>
              <w:right w:type="dxa" w:w="120"/>
            </w:tcMar>
          </w:tcPr>
          <w:p>
            <w:pPr>
              <w:spacing w:before="120" w:after="120" w:line="288" w:lineRule="auto"/>
              <w:ind w:left="0"/>
              <w:jc w:val="center"/>
            </w:pPr>
            <w:r>
              <w:drawing>
                <wp:inline distT="0" distR="0" distB="0" distL="0">
                  <wp:extent cx="2457450" cy="3581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457450" cy="3581400"/>
                          </a:xfrm>
                          <a:prstGeom prst="rect">
                            <a:avLst/>
                          </a:prstGeom>
                        </pic:spPr>
                      </pic:pic>
                    </a:graphicData>
                  </a:graphic>
                </wp:inline>
              </w:drawing>
            </w:r>
          </w:p>
        </w:tc>
        <w:tc>
          <w:tcPr>
            <w:tcW w:w="4166" w:type="dxa"/>
            <w:tcMar>
              <w:top w:type="dxa" w:w="60"/>
              <w:left w:type="dxa" w:w="120"/>
              <w:bottom w:type="dxa" w:w="30"/>
              <w:right w:type="dxa" w:w="120"/>
            </w:tcMar>
          </w:tcPr>
          <w:p>
            <w:pPr>
              <w:spacing w:before="120" w:after="120" w:line="288" w:lineRule="auto"/>
              <w:ind w:left="0"/>
              <w:jc w:val="center"/>
            </w:pPr>
            <w:r>
              <w:drawing>
                <wp:inline distT="0" distR="0" distB="0" distL="0">
                  <wp:extent cx="2486025" cy="3581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2486025" cy="3581400"/>
                          </a:xfrm>
                          <a:prstGeom prst="rect">
                            <a:avLst/>
                          </a:prstGeom>
                        </pic:spPr>
                      </pic:pic>
                    </a:graphicData>
                  </a:graphic>
                </wp:inline>
              </w:drawing>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产品能力</w:t>
      </w:r>
      <w:bookmarkEnd w:id="6"/>
    </w:p>
    <w:p>
      <w:pPr>
        <w:spacing w:before="120" w:after="120" w:line="288" w:lineRule="auto"/>
        <w:ind w:left="0"/>
        <w:jc w:val="left"/>
      </w:pPr>
      <w:r>
        <w:rPr>
          <w:rFonts w:eastAsia="等线" w:ascii="Arial" w:cs="Arial" w:hAnsi="Arial"/>
          <w:b w:val="true"/>
          <w:sz w:val="22"/>
        </w:rPr>
        <w:t>让团队从“会做图”走向“会稳定交付”</w:t>
      </w:r>
    </w:p>
    <w:p>
      <w:pPr>
        <w:spacing w:before="120" w:after="120" w:line="288" w:lineRule="auto"/>
        <w:ind w:left="0"/>
        <w:jc w:val="left"/>
      </w:pPr>
      <w:r>
        <w:rPr>
          <w:rFonts w:eastAsia="等线" w:ascii="Arial" w:cs="Arial" w:hAnsi="Arial"/>
          <w:sz w:val="22"/>
        </w:rPr>
        <w:t>从数据获取、分析判断到表达输出与品牌统一，能力覆盖正式交付全流程。</w:t>
      </w:r>
    </w:p>
    <w:p>
      <w:pPr>
        <w:spacing w:before="120" w:after="120" w:line="288" w:lineRule="auto"/>
        <w:ind w:left="0"/>
        <w:jc w:val="left"/>
      </w:pPr>
      <w:r>
        <w:rPr>
          <w:rFonts w:eastAsia="等线" w:ascii="Arial" w:cs="Arial" w:hAnsi="Arial"/>
          <w:b w:val="true"/>
          <w:sz w:val="22"/>
        </w:rPr>
        <w:t>数据无需整理，也能直接进入表达流程</w:t>
        <w:br/>
      </w:r>
      <w:r>
        <w:rPr>
          <w:rFonts w:eastAsia="等线" w:ascii="Arial" w:cs="Arial" w:hAnsi="Arial"/>
          <w:sz w:val="22"/>
        </w:rPr>
        <w:t>支持Excel/CSV、数据库、API接口接入，让数据获取与处理一步完成</w:t>
      </w:r>
    </w:p>
    <w:p>
      <w:pPr>
        <w:spacing w:before="120" w:after="120" w:line="288" w:lineRule="auto"/>
        <w:ind w:left="0"/>
        <w:jc w:val="left"/>
      </w:pPr>
      <w:r>
        <w:rPr>
          <w:rFonts w:eastAsia="等线" w:ascii="Arial" w:cs="Arial" w:hAnsi="Arial"/>
          <w:b w:val="true"/>
          <w:sz w:val="22"/>
        </w:rPr>
        <w:t>不懂图表，也能做出专业数据表达</w:t>
      </w:r>
      <w:r>
        <w:rPr>
          <w:rFonts w:eastAsia="等线" w:ascii="Arial" w:cs="Arial" w:hAnsi="Arial"/>
          <w:sz w:val="22"/>
        </w:rPr>
        <w:br/>
      </w:r>
      <w:r>
        <w:rPr>
          <w:rFonts w:eastAsia="等线" w:ascii="Arial" w:cs="Arial" w:hAnsi="Arial"/>
          <w:sz w:val="22"/>
        </w:rPr>
        <w:t>AI自动理解数据结构，推荐最合适的图表与表达方式</w:t>
      </w:r>
    </w:p>
    <w:p>
      <w:pPr>
        <w:spacing w:before="120" w:after="120" w:line="288" w:lineRule="auto"/>
        <w:ind w:left="0"/>
        <w:jc w:val="left"/>
      </w:pPr>
      <w:r>
        <w:rPr>
          <w:rFonts w:eastAsia="等线" w:ascii="Arial" w:cs="Arial" w:hAnsi="Arial"/>
          <w:b w:val="true"/>
          <w:sz w:val="22"/>
        </w:rPr>
        <w:t>可控编辑，更稳交付</w:t>
      </w:r>
    </w:p>
    <w:p>
      <w:pPr>
        <w:spacing w:before="120" w:after="120" w:line="288" w:lineRule="auto"/>
        <w:ind w:left="0"/>
        <w:jc w:val="left"/>
      </w:pPr>
      <w:r>
        <w:rPr>
          <w:rFonts w:eastAsia="等线" w:ascii="Arial" w:cs="Arial" w:hAnsi="Arial"/>
          <w:sz w:val="22"/>
        </w:rPr>
        <w:t>支持配色、字体、布局、标注细调，让最终结果真正能上会、能发布、能复用。</w:t>
      </w:r>
    </w:p>
    <w:p>
      <w:pPr>
        <w:spacing w:before="120" w:after="120" w:line="288" w:lineRule="auto"/>
        <w:ind w:left="0"/>
        <w:jc w:val="left"/>
      </w:pPr>
      <w:r>
        <w:rPr>
          <w:rFonts w:eastAsia="等线" w:ascii="Arial" w:cs="Arial" w:hAnsi="Arial"/>
          <w:b w:val="true"/>
          <w:sz w:val="22"/>
        </w:rPr>
        <w:t>AI 分析报告，更易表达</w:t>
      </w:r>
    </w:p>
    <w:p>
      <w:pPr>
        <w:spacing w:before="120" w:after="120" w:line="288" w:lineRule="auto"/>
        <w:ind w:left="0"/>
        <w:jc w:val="left"/>
      </w:pPr>
      <w:r>
        <w:rPr>
          <w:rFonts w:eastAsia="等线" w:ascii="Arial" w:cs="Arial" w:hAnsi="Arial"/>
          <w:sz w:val="22"/>
        </w:rPr>
        <w:t>不只生成图表，也同步生成趋势判断、异常识别和对比结论。</w:t>
      </w:r>
    </w:p>
    <w:p>
      <w:pPr>
        <w:spacing w:before="120" w:after="120" w:line="288" w:lineRule="auto"/>
        <w:ind w:left="0"/>
        <w:jc w:val="left"/>
      </w:pPr>
      <w:r>
        <w:rPr>
          <w:rFonts w:eastAsia="等线" w:ascii="Arial" w:cs="Arial" w:hAnsi="Arial"/>
          <w:b w:val="true"/>
          <w:sz w:val="22"/>
        </w:rPr>
        <w:t>图文一体创作，更强传播</w:t>
      </w:r>
    </w:p>
    <w:p>
      <w:pPr>
        <w:spacing w:before="120" w:after="120" w:line="288" w:lineRule="auto"/>
        <w:ind w:left="0"/>
        <w:jc w:val="left"/>
      </w:pPr>
      <w:r>
        <w:rPr>
          <w:rFonts w:eastAsia="等线" w:ascii="Arial" w:cs="Arial" w:hAnsi="Arial"/>
          <w:sz w:val="22"/>
        </w:rPr>
        <w:t>配图生成、抠图、放大、裁剪同步完成，让专题内容和报告视觉更完整。</w:t>
      </w:r>
    </w:p>
    <w:p>
      <w:pPr>
        <w:spacing w:before="120" w:after="120" w:line="288" w:lineRule="auto"/>
        <w:ind w:left="0"/>
        <w:jc w:val="left"/>
      </w:pPr>
      <w:r>
        <w:rPr>
          <w:rFonts w:eastAsia="等线" w:ascii="Arial" w:cs="Arial" w:hAnsi="Arial"/>
          <w:b w:val="true"/>
          <w:sz w:val="22"/>
        </w:rPr>
        <w:t>私有化部署，更安心采用</w:t>
      </w:r>
    </w:p>
    <w:p>
      <w:pPr>
        <w:spacing w:before="120" w:after="120" w:line="288" w:lineRule="auto"/>
        <w:ind w:left="0"/>
        <w:jc w:val="left"/>
      </w:pPr>
      <w:r>
        <w:rPr>
          <w:rFonts w:eastAsia="等线" w:ascii="Arial" w:cs="Arial" w:hAnsi="Arial"/>
          <w:sz w:val="22"/>
        </w:rPr>
        <w:t>支持内网、本地服务器和私有云部署，更适合政务、金融等高安全场景。</w:t>
      </w:r>
    </w:p>
    <w:p>
      <w:pPr>
        <w:spacing w:before="120" w:after="120" w:line="288" w:lineRule="auto"/>
        <w:ind w:left="0"/>
        <w:jc w:val="left"/>
      </w:pPr>
      <w:r>
        <w:rPr>
          <w:rFonts w:eastAsia="等线" w:ascii="Arial" w:cs="Arial" w:hAnsi="Arial"/>
          <w:b w:val="true"/>
          <w:sz w:val="22"/>
        </w:rPr>
        <w:t>模板与协作，更统一输出</w:t>
      </w:r>
    </w:p>
    <w:p>
      <w:pPr>
        <w:spacing w:before="120" w:after="120" w:line="288" w:lineRule="auto"/>
        <w:ind w:left="0"/>
        <w:jc w:val="left"/>
      </w:pPr>
      <w:r>
        <w:rPr>
          <w:rFonts w:eastAsia="等线" w:ascii="Arial" w:cs="Arial" w:hAnsi="Arial"/>
          <w:sz w:val="22"/>
        </w:rPr>
        <w:t>通过模板库、品牌规范和团队协作，把个人产出沉淀成组织统一能力。</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合作单位</w:t>
      </w:r>
      <w:bookmarkEnd w:id="7"/>
    </w:p>
    <w:p>
      <w:pPr>
        <w:spacing w:before="120" w:after="120" w:line="288" w:lineRule="auto"/>
        <w:ind w:left="0"/>
        <w:jc w:val="left"/>
      </w:pPr>
      <w:r>
        <w:rPr>
          <w:rFonts w:eastAsia="等线" w:ascii="Arial" w:cs="Arial" w:hAnsi="Arial"/>
          <w:b w:val="true"/>
          <w:sz w:val="22"/>
        </w:rPr>
        <w:t>被权威媒体、政务机构与头部企业共同采用</w:t>
      </w:r>
    </w:p>
    <w:p>
      <w:pPr>
        <w:spacing w:before="120" w:after="120" w:line="288" w:lineRule="auto"/>
        <w:ind w:left="0"/>
        <w:jc w:val="left"/>
      </w:pPr>
      <w:r>
        <w:rPr>
          <w:rFonts w:eastAsia="等线" w:ascii="Arial" w:cs="Arial" w:hAnsi="Arial"/>
          <w:b w:val="true"/>
          <w:sz w:val="22"/>
        </w:rPr>
        <w:t>人民日报、人民网、国家预警信息发布中心、中国法院报、腾讯</w:t>
      </w:r>
    </w:p>
    <w:p>
      <w:pPr>
        <w:spacing w:before="120" w:after="120" w:line="288" w:lineRule="auto"/>
        <w:ind w:left="0"/>
        <w:jc w:val="left"/>
      </w:pPr>
      <w:r>
        <w:rPr>
          <w:rFonts w:eastAsia="等线" w:ascii="Arial" w:cs="Arial" w:hAnsi="Arial"/>
          <w:b w:val="true"/>
          <w:sz w:val="22"/>
        </w:rPr>
        <w:t>新华社、紫荆杂志社、湖北卫视、鹏华基金、时尚集团</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 xml:space="preserve">对比分析 </w:t>
      </w:r>
      <w:bookmarkEnd w:id="8"/>
    </w:p>
    <w:p>
      <w:pPr>
        <w:spacing w:before="120" w:after="120" w:line="288" w:lineRule="auto"/>
        <w:ind w:left="0"/>
        <w:jc w:val="left"/>
      </w:pPr>
      <w:r>
        <w:rPr>
          <w:rFonts w:eastAsia="等线" w:ascii="Arial" w:cs="Arial" w:hAnsi="Arial"/>
          <w:b w:val="true"/>
          <w:sz w:val="22"/>
        </w:rPr>
        <w:t>为什么选爱图表，而不是其他方案</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2" o:title=""/>
          </v:shape>
          <o:OLEObject DrawAspect="Icon" ObjectID="_1718471219" ProgID="Excel.Sheet.12" ShapeID="_x0000_i1025"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r>
        <w:rPr>
          <w:rFonts w:eastAsia="等线" w:ascii="Arial" w:cs="Arial" w:hAnsi="Arial"/>
          <w:b w:val="true"/>
          <w:sz w:val="30"/>
        </w:rPr>
        <w:t xml:space="preserve">使用流程  </w:t>
      </w:r>
      <w:bookmarkEnd w:id="9"/>
    </w:p>
    <w:p>
      <w:pPr>
        <w:spacing w:before="120" w:after="120" w:line="288" w:lineRule="auto"/>
        <w:ind w:left="0"/>
        <w:jc w:val="left"/>
      </w:pPr>
      <w:r>
        <w:rPr>
          <w:rFonts w:eastAsia="等线" w:ascii="Arial" w:cs="Arial" w:hAnsi="Arial"/>
          <w:b w:val="true"/>
          <w:sz w:val="22"/>
        </w:rPr>
        <w:t>从数据到结果，一套流程完成专业级输出</w:t>
      </w:r>
    </w:p>
    <w:p>
      <w:pPr>
        <w:spacing w:before="120" w:after="120" w:line="288" w:lineRule="auto"/>
        <w:ind w:left="0"/>
        <w:jc w:val="left"/>
      </w:pPr>
      <w:r>
        <w:rPr>
          <w:rFonts w:eastAsia="等线" w:ascii="Arial" w:cs="Arial" w:hAnsi="Arial"/>
          <w:sz w:val="22"/>
        </w:rPr>
        <w:t>无需设计背景，也无需复杂培训，普通员工即可完成从数据接入到正式交付的全流程</w:t>
      </w:r>
    </w:p>
    <w:p>
      <w:pPr>
        <w:spacing w:before="120" w:after="120" w:line="288" w:lineRule="auto"/>
        <w:ind w:left="0"/>
        <w:jc w:val="left"/>
      </w:pPr>
      <w:r>
        <w:rPr>
          <w:rFonts w:eastAsia="等线" w:ascii="Arial" w:cs="Arial" w:hAnsi="Arial"/>
          <w:b w:val="true"/>
          <w:sz w:val="22"/>
        </w:rPr>
        <w:t>01数据接入</w:t>
      </w:r>
    </w:p>
    <w:p>
      <w:pPr>
        <w:spacing w:before="120" w:after="120" w:line="288" w:lineRule="auto"/>
        <w:ind w:left="0"/>
        <w:jc w:val="left"/>
      </w:pPr>
      <w:r>
        <w:rPr>
          <w:rFonts w:eastAsia="等线" w:ascii="Arial" w:cs="Arial" w:hAnsi="Arial"/>
          <w:b w:val="true"/>
          <w:sz w:val="22"/>
        </w:rPr>
        <w:t>多源数据，一步进入表达流程</w:t>
      </w:r>
      <w:r>
        <w:rPr>
          <w:rFonts w:eastAsia="等线" w:ascii="Arial" w:cs="Arial" w:hAnsi="Arial"/>
          <w:sz w:val="22"/>
        </w:rPr>
        <w:br/>
      </w:r>
      <w:r>
        <w:rPr>
          <w:rFonts w:eastAsia="等线" w:ascii="Arial" w:cs="Arial" w:hAnsi="Arial"/>
          <w:sz w:val="22"/>
        </w:rPr>
        <w:t xml:space="preserve"> 支持 Excel、CSV、数据库、API 接口及业务系统数据接入，让数据无需整理即可直接使用</w:t>
      </w:r>
    </w:p>
    <w:p>
      <w:pPr>
        <w:spacing w:before="120" w:after="120" w:line="288" w:lineRule="auto"/>
        <w:ind w:left="0"/>
        <w:jc w:val="left"/>
      </w:pPr>
      <w:r>
        <w:rPr>
          <w:rFonts w:eastAsia="等线" w:ascii="Arial" w:cs="Arial" w:hAnsi="Arial"/>
          <w:b w:val="true"/>
          <w:sz w:val="22"/>
        </w:rPr>
        <w:t>02AI 生成初稿</w:t>
      </w:r>
    </w:p>
    <w:p>
      <w:pPr>
        <w:spacing w:before="120" w:after="120" w:line="288" w:lineRule="auto"/>
        <w:ind w:left="0"/>
        <w:jc w:val="left"/>
      </w:pPr>
      <w:r>
        <w:rPr>
          <w:rFonts w:eastAsia="等线" w:ascii="Arial" w:cs="Arial" w:hAnsi="Arial"/>
          <w:b w:val="true"/>
          <w:sz w:val="22"/>
        </w:rPr>
        <w:t>从数据到初稿，分钟级完成</w:t>
      </w:r>
    </w:p>
    <w:p>
      <w:pPr>
        <w:spacing w:before="120" w:after="120" w:line="288" w:lineRule="auto"/>
        <w:ind w:left="0"/>
        <w:jc w:val="left"/>
      </w:pPr>
      <w:r>
        <w:rPr>
          <w:rFonts w:eastAsia="等线" w:ascii="Arial" w:cs="Arial" w:hAnsi="Arial"/>
          <w:sz w:val="22"/>
        </w:rPr>
        <w:t>AI自动理解数据结构与重点关系，快速生成可用于汇报与发布的表达方案</w:t>
      </w:r>
    </w:p>
    <w:p>
      <w:pPr>
        <w:spacing w:before="120" w:after="120" w:line="288" w:lineRule="auto"/>
        <w:ind w:left="0"/>
        <w:jc w:val="left"/>
      </w:pPr>
      <w:r>
        <w:rPr>
          <w:rFonts w:eastAsia="等线" w:ascii="Arial" w:cs="Arial" w:hAnsi="Arial"/>
          <w:b w:val="true"/>
          <w:sz w:val="22"/>
        </w:rPr>
        <w:t>03统一表达</w:t>
      </w:r>
    </w:p>
    <w:p>
      <w:pPr>
        <w:spacing w:before="120" w:after="120" w:line="288" w:lineRule="auto"/>
        <w:ind w:left="0"/>
        <w:jc w:val="left"/>
      </w:pPr>
      <w:r>
        <w:rPr>
          <w:rFonts w:eastAsia="等线" w:ascii="Arial" w:cs="Arial" w:hAnsi="Arial"/>
          <w:b w:val="true"/>
          <w:sz w:val="22"/>
        </w:rPr>
        <w:t>一键对齐组织输出标准</w:t>
      </w:r>
      <w:r>
        <w:rPr>
          <w:rFonts w:eastAsia="等线" w:ascii="Arial" w:cs="Arial" w:hAnsi="Arial"/>
          <w:sz w:val="22"/>
        </w:rPr>
        <w:br/>
      </w:r>
      <w:r>
        <w:rPr>
          <w:rFonts w:eastAsia="等线" w:ascii="Arial" w:cs="Arial" w:hAnsi="Arial"/>
          <w:sz w:val="22"/>
        </w:rPr>
        <w:t xml:space="preserve"> 按品牌规范统一配色、字体、布局与标识，让结果更专业、更一致</w:t>
      </w:r>
    </w:p>
    <w:p>
      <w:pPr>
        <w:spacing w:before="120" w:after="120" w:line="288" w:lineRule="auto"/>
        <w:ind w:left="0"/>
        <w:jc w:val="left"/>
      </w:pPr>
      <w:r>
        <w:rPr>
          <w:rFonts w:eastAsia="等线" w:ascii="Arial" w:cs="Arial" w:hAnsi="Arial"/>
          <w:b w:val="true"/>
          <w:sz w:val="22"/>
        </w:rPr>
        <w:t>04输出交付</w:t>
      </w:r>
    </w:p>
    <w:p>
      <w:pPr>
        <w:spacing w:before="120" w:after="120" w:line="288" w:lineRule="auto"/>
        <w:ind w:left="0"/>
        <w:jc w:val="left"/>
      </w:pPr>
      <w:r>
        <w:rPr>
          <w:rFonts w:eastAsia="等线" w:ascii="Arial" w:cs="Arial" w:hAnsi="Arial"/>
          <w:b w:val="true"/>
          <w:sz w:val="22"/>
        </w:rPr>
        <w:t>直接进入正式工作流程</w:t>
      </w:r>
    </w:p>
    <w:p>
      <w:pPr>
        <w:spacing w:before="120" w:after="120" w:line="288" w:lineRule="auto"/>
        <w:ind w:left="0"/>
        <w:jc w:val="left"/>
      </w:pPr>
      <w:r>
        <w:rPr>
          <w:rFonts w:eastAsia="等线" w:ascii="Arial" w:cs="Arial" w:hAnsi="Arial"/>
          <w:sz w:val="22"/>
        </w:rPr>
        <w:t>一键导出多格式结果，直接进入 PPT、报告、发布稿和传播内容流程。</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试用</w:t>
      </w:r>
      <w:bookmarkEnd w:id="10"/>
    </w:p>
    <w:p>
      <w:pPr>
        <w:spacing w:before="120" w:after="120" w:line="288" w:lineRule="auto"/>
        <w:ind w:left="0"/>
        <w:jc w:val="center"/>
      </w:pPr>
      <w:r>
        <w:rPr>
          <w:rFonts w:eastAsia="等线" w:ascii="Arial" w:cs="Arial" w:hAnsi="Arial"/>
          <w:b w:val="true"/>
          <w:sz w:val="22"/>
        </w:rPr>
        <w:t>准备好让你的数据，</w:t>
      </w:r>
      <w:r>
        <w:rPr>
          <w:rFonts w:eastAsia="等线" w:ascii="Arial" w:cs="Arial" w:hAnsi="Arial"/>
          <w:sz w:val="22"/>
        </w:rPr>
        <w:br/>
      </w:r>
      <w:r>
        <w:rPr>
          <w:rFonts w:eastAsia="等线" w:ascii="Arial" w:cs="Arial" w:hAnsi="Arial"/>
          <w:b w:val="true"/>
          <w:sz w:val="22"/>
        </w:rPr>
        <w:t>真正说服所有人了吗？</w:t>
      </w:r>
    </w:p>
    <w:p>
      <w:pPr>
        <w:spacing w:before="120" w:after="120" w:line="288" w:lineRule="auto"/>
        <w:ind w:left="0"/>
        <w:jc w:val="center"/>
      </w:pPr>
      <w:r>
        <w:rPr>
          <w:rFonts w:eastAsia="等线" w:ascii="Arial" w:cs="Arial" w:hAnsi="Arial"/>
          <w:sz w:val="22"/>
        </w:rPr>
        <w:t>7天内完成真实业务场景验证</w:t>
      </w:r>
    </w:p>
    <w:p>
      <w:pPr>
        <w:spacing w:before="120" w:after="120" w:line="288" w:lineRule="auto"/>
        <w:ind w:left="0"/>
        <w:jc w:val="center"/>
      </w:pPr>
      <w:r>
        <w:rPr>
          <w:rFonts w:eastAsia="等线" w:ascii="Arial" w:cs="Arial" w:hAnsi="Arial"/>
          <w:sz w:val="22"/>
        </w:rPr>
        <w:t xml:space="preserve"> 看看效率能提升多少?</w:t>
      </w:r>
    </w:p>
    <w:p>
      <w:pPr>
        <w:spacing w:before="120" w:after="120" w:line="288" w:lineRule="auto"/>
        <w:ind w:left="0"/>
        <w:jc w:val="center"/>
      </w:pPr>
      <w:hyperlink r:id="rId13">
        <w:r>
          <w:rPr>
            <w:rFonts w:eastAsia="等线" w:ascii="Arial" w:cs="Arial" w:hAnsi="Arial"/>
            <w:color w:val="3370ff"/>
            <w:sz w:val="22"/>
          </w:rPr>
          <w:t>立即免费试用 →预约产品演示</w:t>
        </w:r>
      </w:hyperlink>
    </w:p>
    <w:p>
      <w:pPr>
        <w:spacing w:before="120" w:after="120" w:line="288" w:lineRule="auto"/>
        <w:ind w:left="0"/>
        <w:jc w:val="center"/>
      </w:pPr>
      <w:r>
        <w:rPr>
          <w:rFonts w:eastAsia="等线" w:ascii="Arial" w:cs="Arial" w:hAnsi="Arial"/>
          <w:sz w:val="22"/>
        </w:rPr>
        <w:t>🔒</w:t>
      </w:r>
    </w:p>
    <w:p>
      <w:pPr>
        <w:spacing w:before="120" w:after="120" w:line="288" w:lineRule="auto"/>
        <w:ind w:left="0"/>
        <w:jc w:val="center"/>
      </w:pPr>
      <w:r>
        <w:rPr>
          <w:rFonts w:eastAsia="等线" w:ascii="Arial" w:cs="Arial" w:hAnsi="Arial"/>
          <w:sz w:val="22"/>
        </w:rPr>
        <w:t>支持私有化部署</w:t>
      </w:r>
    </w:p>
    <w:p>
      <w:pPr>
        <w:spacing w:before="120" w:after="120" w:line="288" w:lineRule="auto"/>
        <w:ind w:left="0"/>
        <w:jc w:val="center"/>
      </w:pPr>
      <w:r>
        <w:rPr>
          <w:rFonts w:eastAsia="等线" w:ascii="Arial" w:cs="Arial" w:hAnsi="Arial"/>
          <w:sz w:val="22"/>
        </w:rPr>
        <w:t>⚡</w:t>
      </w:r>
    </w:p>
    <w:p>
      <w:pPr>
        <w:spacing w:before="120" w:after="120" w:line="288" w:lineRule="auto"/>
        <w:ind w:left="0"/>
        <w:jc w:val="center"/>
      </w:pPr>
      <w:r>
        <w:rPr>
          <w:rFonts w:eastAsia="等线" w:ascii="Arial" w:cs="Arial" w:hAnsi="Arial"/>
          <w:sz w:val="22"/>
        </w:rPr>
        <w:t>7天免费试用</w:t>
      </w:r>
    </w:p>
    <w:p>
      <w:pPr>
        <w:spacing w:before="120" w:after="120" w:line="288" w:lineRule="auto"/>
        <w:ind w:left="0"/>
        <w:jc w:val="center"/>
      </w:pPr>
      <w:r>
        <w:rPr>
          <w:rFonts w:eastAsia="等线" w:ascii="Arial" w:cs="Arial" w:hAnsi="Arial"/>
          <w:sz w:val="22"/>
        </w:rPr>
        <w:t>👤</w:t>
      </w:r>
    </w:p>
    <w:p>
      <w:pPr>
        <w:spacing w:before="120" w:after="120" w:line="288" w:lineRule="auto"/>
        <w:ind w:left="0"/>
        <w:jc w:val="center"/>
      </w:pPr>
      <w:r>
        <w:rPr>
          <w:rFonts w:eastAsia="等线" w:ascii="Arial" w:cs="Arial" w:hAnsi="Arial"/>
          <w:sz w:val="22"/>
        </w:rPr>
        <w:t>专属顾问对接</w:t>
      </w:r>
    </w:p>
    <w:p>
      <w:pPr>
        <w:spacing w:before="120" w:after="120" w:line="288" w:lineRule="auto"/>
        <w:ind w:left="0"/>
        <w:jc w:val="center"/>
      </w:pPr>
      <w:r>
        <w:rPr>
          <w:rFonts w:eastAsia="等线" w:ascii="Arial" w:cs="Arial" w:hAnsi="Arial"/>
          <w:sz w:val="22"/>
        </w:rPr>
        <w:t>🎯</w:t>
      </w:r>
    </w:p>
    <w:p>
      <w:pPr>
        <w:spacing w:before="120" w:after="120" w:line="288" w:lineRule="auto"/>
        <w:ind w:left="0"/>
        <w:jc w:val="center"/>
      </w:pPr>
      <w:r>
        <w:rPr>
          <w:rFonts w:eastAsia="等线" w:ascii="Arial" w:cs="Arial" w:hAnsi="Arial"/>
          <w:sz w:val="22"/>
        </w:rPr>
        <w:t>按需定制方案</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 w:id="11"/>
      <w:bookmarkEnd w:id="11"/>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童昕 9122"/>
          <v:fill opacity="0.3"/>
        </v:shape>
      </w:pict>
    </w:r>
  </w:p>
</w:hdr>
</file>

<file path=word/numbering.xml><?xml version="1.0" encoding="utf-8"?>
<w:numbering xmlns:w="http://schemas.openxmlformats.org/wordprocessingml/2006/main">
  <w:abstractNum w:abstractNumId="291662">
    <w:lvl>
      <w:numFmt w:val="bullet"/>
      <w:suff w:val="tab"/>
      <w:lvlText w:val="•"/>
      <w:rPr>
        <w:color w:val="3370ff"/>
      </w:rPr>
    </w:lvl>
  </w:abstractNum>
  <w:abstractNum w:abstractNumId="291663">
    <w:lvl>
      <w:numFmt w:val="bullet"/>
      <w:suff w:val="tab"/>
      <w:lvlText w:val="•"/>
      <w:rPr>
        <w:color w:val="3370ff"/>
      </w:rPr>
    </w:lvl>
  </w:abstractNum>
  <w:abstractNum w:abstractNumId="291664">
    <w:lvl>
      <w:numFmt w:val="bullet"/>
      <w:suff w:val="tab"/>
      <w:lvlText w:val="•"/>
      <w:rPr>
        <w:color w:val="3370ff"/>
      </w:rPr>
    </w:lvl>
  </w:abstractNum>
  <w:abstractNum w:abstractNumId="291665">
    <w:lvl>
      <w:numFmt w:val="bullet"/>
      <w:suff w:val="tab"/>
      <w:lvlText w:val="•"/>
      <w:rPr>
        <w:color w:val="3370ff"/>
      </w:rPr>
    </w:lvl>
  </w:abstractNum>
  <w:abstractNum w:abstractNumId="291666">
    <w:lvl>
      <w:numFmt w:val="bullet"/>
      <w:suff w:val="tab"/>
      <w:lvlText w:val="•"/>
      <w:rPr>
        <w:color w:val="3370ff"/>
      </w:rPr>
    </w:lvl>
  </w:abstractNum>
  <w:abstractNum w:abstractNumId="291667">
    <w:lvl>
      <w:numFmt w:val="bullet"/>
      <w:suff w:val="tab"/>
      <w:lvlText w:val="•"/>
      <w:rPr>
        <w:color w:val="3370ff"/>
      </w:rPr>
    </w:lvl>
  </w:abstractNum>
  <w:abstractNum w:abstractNumId="291668">
    <w:lvl>
      <w:numFmt w:val="bullet"/>
      <w:suff w:val="tab"/>
      <w:lvlText w:val="•"/>
      <w:rPr>
        <w:color w:val="3370ff"/>
      </w:rPr>
    </w:lvl>
  </w:abstractNum>
  <w:abstractNum w:abstractNumId="291669">
    <w:lvl>
      <w:numFmt w:val="bullet"/>
      <w:suff w:val="tab"/>
      <w:lvlText w:val="•"/>
      <w:rPr>
        <w:color w:val="3370ff"/>
      </w:rPr>
    </w:lvl>
  </w:abstractNum>
  <w:abstractNum w:abstractNumId="291670">
    <w:lvl>
      <w:numFmt w:val="bullet"/>
      <w:suff w:val="tab"/>
      <w:lvlText w:val="•"/>
      <w:rPr>
        <w:color w:val="3370ff"/>
      </w:rPr>
    </w:lvl>
  </w:abstractNum>
  <w:abstractNum w:abstractNumId="291671">
    <w:lvl>
      <w:numFmt w:val="bullet"/>
      <w:suff w:val="tab"/>
      <w:lvlText w:val="•"/>
      <w:rPr>
        <w:color w:val="3370ff"/>
      </w:rPr>
    </w:lvl>
  </w:abstractNum>
  <w:abstractNum w:abstractNumId="291672">
    <w:lvl>
      <w:numFmt w:val="bullet"/>
      <w:suff w:val="tab"/>
      <w:lvlText w:val="•"/>
      <w:rPr>
        <w:color w:val="3370ff"/>
      </w:rPr>
    </w:lvl>
  </w:abstractNum>
  <w:abstractNum w:abstractNumId="291673">
    <w:lvl>
      <w:numFmt w:val="bullet"/>
      <w:suff w:val="tab"/>
      <w:lvlText w:val="•"/>
      <w:rPr>
        <w:color w:val="3370ff"/>
      </w:rPr>
    </w:lvl>
  </w:abstractNum>
  <w:abstractNum w:abstractNumId="291674">
    <w:lvl>
      <w:numFmt w:val="bullet"/>
      <w:suff w:val="tab"/>
      <w:lvlText w:val="•"/>
      <w:rPr>
        <w:color w:val="3370ff"/>
      </w:rPr>
    </w:lvl>
  </w:abstractNum>
  <w:abstractNum w:abstractNumId="291675">
    <w:lvl>
      <w:numFmt w:val="bullet"/>
      <w:suff w:val="tab"/>
      <w:lvlText w:val="•"/>
      <w:rPr>
        <w:color w:val="3370ff"/>
      </w:rPr>
    </w:lvl>
  </w:abstractNum>
  <w:num w:numId="1">
    <w:abstractNumId w:val="291662"/>
  </w:num>
  <w:num w:numId="2">
    <w:abstractNumId w:val="291663"/>
  </w:num>
  <w:num w:numId="3">
    <w:abstractNumId w:val="291664"/>
  </w:num>
  <w:num w:numId="4">
    <w:abstractNumId w:val="291665"/>
  </w:num>
  <w:num w:numId="5">
    <w:abstractNumId w:val="291666"/>
  </w:num>
  <w:num w:numId="6">
    <w:abstractNumId w:val="291667"/>
  </w:num>
  <w:num w:numId="7">
    <w:abstractNumId w:val="291668"/>
  </w:num>
  <w:num w:numId="8">
    <w:abstractNumId w:val="291669"/>
  </w:num>
  <w:num w:numId="9">
    <w:abstractNumId w:val="291670"/>
  </w:num>
  <w:num w:numId="10">
    <w:abstractNumId w:val="291671"/>
  </w:num>
  <w:num w:numId="11">
    <w:abstractNumId w:val="291672"/>
  </w:num>
  <w:num w:numId="12">
    <w:abstractNumId w:val="291673"/>
  </w:num>
  <w:num w:numId="13">
    <w:abstractNumId w:val="291674"/>
  </w:num>
  <w:num w:numId="14">
    <w:abstractNumId w:val="2916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embeddings/Microsoft_Excel_Worksheet1.xlsx" Type="http://schemas.openxmlformats.org/officeDocument/2006/relationships/package"/><Relationship Id="rId12" Target="media/image7.png" Type="http://schemas.openxmlformats.org/officeDocument/2006/relationships/image"/><Relationship Id="rId13" Target="https://www.aitubiao.com/"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2026-04-03T03:35:21Z</dcterms:created>
  <dc:creator>Apache POI</dc:creator>
</cp:coreProperties>
</file>