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Gut Bacteria and Lipidic Nanoparticles: Particle Composition Predicts Structural Transformation and Bacterial Biocompatibility</w:t>
      </w:r>
    </w:p>
    <w:p>
      <w:pPr>
        <w:pStyle w:val="Heading2"/>
      </w:pPr>
      <w:r>
        <w:t>日本語訳タイトル</w:t>
      </w:r>
    </w:p>
    <w:p>
      <w:r>
        <w:t>ヒト腸内細菌と脂質性ナノ粒子：粒子組成が構造変化と細菌への生体適合性を規定する</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Caukwell J, Gulliver EL, Salvati Manni L, Herb F, Welsh C, Forster SC, Clulow AJ, Fong WK</w:t>
            </w:r>
          </w:p>
        </w:tc>
      </w:tr>
      <w:tr>
        <w:tc>
          <w:tcPr>
            <w:tcW w:type="dxa" w:w="4320"/>
          </w:tcPr>
          <w:p>
            <w:r>
              <w:t>誌名</w:t>
            </w:r>
          </w:p>
        </w:tc>
        <w:tc>
          <w:tcPr>
            <w:tcW w:type="dxa" w:w="4320"/>
          </w:tcPr>
          <w:p>
            <w:r>
              <w:t>Advanced Functional Materials</w:t>
            </w:r>
          </w:p>
        </w:tc>
      </w:tr>
      <w:tr>
        <w:tc>
          <w:tcPr>
            <w:tcW w:type="dxa" w:w="4320"/>
          </w:tcPr>
          <w:p>
            <w:r>
              <w:t>出版年</w:t>
            </w:r>
          </w:p>
        </w:tc>
        <w:tc>
          <w:tcPr>
            <w:tcW w:type="dxa" w:w="4320"/>
          </w:tcPr>
          <w:p>
            <w:r>
              <w:t>2026</w:t>
            </w:r>
          </w:p>
        </w:tc>
      </w:tr>
      <w:tr>
        <w:tc>
          <w:tcPr>
            <w:tcW w:type="dxa" w:w="4320"/>
          </w:tcPr>
          <w:p>
            <w:r>
              <w:t>DOI</w:t>
            </w:r>
          </w:p>
        </w:tc>
        <w:tc>
          <w:tcPr>
            <w:tcW w:type="dxa" w:w="4320"/>
          </w:tcPr>
          <w:p>
            <w:r>
              <w:t>10.1002/adfm.202528824</w:t>
            </w:r>
          </w:p>
        </w:tc>
      </w:tr>
      <w:tr>
        <w:tc>
          <w:tcPr>
            <w:tcW w:type="dxa" w:w="4320"/>
          </w:tcPr>
          <w:p>
            <w:r>
              <w:t>PMID</w:t>
            </w:r>
          </w:p>
        </w:tc>
        <w:tc>
          <w:tcPr>
            <w:tcW w:type="dxa" w:w="4320"/>
          </w:tcPr>
          <w:p>
            <w:r>
              <w:t>N/A</w:t>
            </w:r>
          </w:p>
        </w:tc>
      </w:tr>
      <w:tr>
        <w:tc>
          <w:tcPr>
            <w:tcW w:type="dxa" w:w="4320"/>
          </w:tcPr>
          <w:p>
            <w:r>
              <w:t>巻/頁</w:t>
            </w:r>
          </w:p>
        </w:tc>
        <w:tc>
          <w:tcPr>
            <w:tcW w:type="dxa" w:w="4320"/>
          </w:tcPr>
          <w:p>
            <w:r>
              <w:t>e202528824</w:t>
            </w:r>
          </w:p>
        </w:tc>
      </w:tr>
    </w:tbl>
    <w:p>
      <w:pPr>
        <w:pStyle w:val="Heading2"/>
      </w:pPr>
      <w:r>
        <w:t>背景・課題</w:t>
      </w:r>
    </w:p>
    <w:p>
      <w:r>
        <w:t>脂質性ナノ粒子（LNP）は皮膚や腸管など微生物が多く存在する部位への薬物・核酸輸送に広く応用されているが、LNPがヒト腸内細菌叢という多様な微生物環境においてどのような構造変化を示し、細菌に対してどの程度の生体適合性を持つかについてはほとんど未解明であった。このギャップは腸管での経口LNP送達システム設計における重要な盲点であった。</w:t>
      </w:r>
    </w:p>
    <w:p>
      <w:pPr>
        <w:pStyle w:val="Heading2"/>
      </w:pPr>
      <w:r>
        <w:t>手法</w:t>
      </w:r>
    </w:p>
    <w:p>
      <w:r>
        <w:t>研究グループは5種類の脂質性ナノ粒子（LNP）製剤（モノオレイン[MO]、フィタントリオール[PYT]、各種リン脂質ベースLNP等）を調製し、ヒトマイクロバイオームに頻繁に出現する21種の腸内細菌種と独立して接触させた。小角X線散乱（SAXS）を用いてLNPの液晶ナノ構造（キュービック、ヘキサゴナル、ラメラ相等）の変化を解析し、スポットアッセイにより各LNP製剤の細菌増殖への影響（生体適合性）を評価した。これにより、LNP組成と腸内細菌種の組み合わせが及ぼす構造・生物学的影響を系統的にマッピングした。</w:t>
      </w:r>
    </w:p>
    <w:p>
      <w:pPr>
        <w:pStyle w:val="Heading2"/>
      </w:pPr>
      <w:r>
        <w:t>結果</w:t>
      </w:r>
    </w:p>
    <w:p>
      <w:r>
        <w:t>5種のLNP製剤のうち、モノオレイン（MO）LNPは試験した腸内細菌種の約75%との接触後に構造的再編成を示した。一方、フィタントリオール（PYT）LNPおよびリン脂質系LNPは細菌との接触後もナノ構造が大きく変化しなかった。この差異はLNP組成（特に脂質の種類）が腸内細菌-LNP相互作用の主要な決定因子であることを示す。さらに、LNP製剤によって細菌増殖への影響（促進・阻害・中性）が異なり、腸内細菌の種によってもLNPへの反応性が大きく異なることが明らかとなった。21種の腸内細菌種という広範なスクリーニングにより、普遍的傾向と種特異的反応の双方が明確化された。これらのデータは腸管LNP送達設計のための最初の網羅的な細菌-LNP相互作用マップを提供する。</w:t>
      </w:r>
    </w:p>
    <w:p>
      <w:pPr>
        <w:pStyle w:val="Heading2"/>
      </w:pPr>
      <w:r>
        <w:t>考察・新規性</w:t>
      </w:r>
    </w:p>
    <w:p>
      <w:r>
        <w:t>本研究の最大の新規性は、LNP送達システムと腸内細菌叢の相互作用を21種という規模で系統的に評価した点である。LNP組成（脂質種）が細菌との構造的親和性と生体適合性の双方を規定するという知見は、腸管での核酸・薬物送達効率と安全性を最適化するための重要な設計原理を提供する。特にMO系LNPが多くの腸内細菌種と相互作用することは、これらのLNPが腸管環境でのin situ deliveryにおいて有望であると同時に、microbiome-LNP相互作用の副作用リスクも示唆する。</w:t>
      </w:r>
    </w:p>
    <w:p>
      <w:pPr>
        <w:pStyle w:val="Heading2"/>
      </w:pPr>
      <w:r>
        <w:t>限界と今後の展望</w:t>
      </w:r>
    </w:p>
    <w:p>
      <w:r>
        <w:t>本研究はin vitroでの接触実験であり、in vivoの腸管環境（mucus層、peristalticsなど）は再現されていない。今後はLNP-腸内細菌相互作用がin vivoでの核酸/薬物の腸管送達効率に与える影響を動物モデルで検証し、細菌叢を考慮した「microbiome-compatible LNP」設計への応用が期待される。</w:t>
      </w:r>
    </w:p>
    <w:p>
      <w:pPr>
        <w:pStyle w:val="Heading2"/>
      </w:pPr>
      <w:r>
        <w:t>トピックへのインプリケーション</w:t>
      </w:r>
    </w:p>
    <w:p>
      <w:r>
        <w:t>LNP（リポソーム類似脂質ナノ粒子）と腸内細菌の相互作用を体系的に解明した本研究（T4）は、腸管内での細菌への核酸/タンパク質送達システムを設計する際の組成最適化指針を直接提供する。</w:t>
      </w:r>
    </w:p>
    <w:p>
      <w:r>
        <w:t>Metadata: PMID=N/A; DOI=10.1002/adfm.202528824; topic=4; generated=2026-07-16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