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Rapid design of bacteriophage cocktails to suppress the burden and virulence of gut-resident carbapenem-resistant Klebsiella pneumoniae</w:t>
      </w:r>
    </w:p>
    <w:p>
      <w:pPr>
        <w:pStyle w:val="Heading2"/>
      </w:pPr>
      <w:r>
        <w:t>日本語訳タイトル</w:t>
      </w:r>
    </w:p>
    <w:p>
      <w:r>
        <w:t>カルバペネム耐性腸内クレブシエラ・ニューモニエの負担と毒力を抑制するバクテリオファージカクテルの迅速設計</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Ella Rotman, Sandra McClure, Joshua Glazier, Jay Fuerte-Stone, Jonathan Foldi, Ali Erani, Rory McGann, Jack Arnold, Huaiying Lin, Sandra Valaitis, Mark Mimee</w:t>
            </w:r>
          </w:p>
        </w:tc>
      </w:tr>
      <w:tr>
        <w:tc>
          <w:tcPr>
            <w:tcW w:type="dxa" w:w="4320"/>
          </w:tcPr>
          <w:p>
            <w:r>
              <w:t>誌名</w:t>
            </w:r>
          </w:p>
        </w:tc>
        <w:tc>
          <w:tcPr>
            <w:tcW w:type="dxa" w:w="4320"/>
          </w:tcPr>
          <w:p>
            <w:r>
              <w:t>Cell Host &amp; Microbe</w:t>
            </w:r>
          </w:p>
        </w:tc>
      </w:tr>
      <w:tr>
        <w:tc>
          <w:tcPr>
            <w:tcW w:type="dxa" w:w="4320"/>
          </w:tcPr>
          <w:p>
            <w:r>
              <w:t>出版年</w:t>
            </w:r>
          </w:p>
        </w:tc>
        <w:tc>
          <w:tcPr>
            <w:tcW w:type="dxa" w:w="4320"/>
          </w:tcPr>
          <w:p>
            <w:r>
              <w:t>2024 (Vol. 32, No. 11, pp. 1988-2003)</w:t>
            </w:r>
          </w:p>
        </w:tc>
      </w:tr>
      <w:tr>
        <w:tc>
          <w:tcPr>
            <w:tcW w:type="dxa" w:w="4320"/>
          </w:tcPr>
          <w:p>
            <w:r>
              <w:t>DOI</w:t>
            </w:r>
          </w:p>
        </w:tc>
        <w:tc>
          <w:tcPr>
            <w:tcW w:type="dxa" w:w="4320"/>
          </w:tcPr>
          <w:p>
            <w:r>
              <w:t>10.1016/j.chom.2024.09.004</w:t>
            </w:r>
          </w:p>
        </w:tc>
      </w:tr>
      <w:tr>
        <w:tc>
          <w:tcPr>
            <w:tcW w:type="dxa" w:w="4320"/>
          </w:tcPr>
          <w:p>
            <w:r>
              <w:t>PMID</w:t>
            </w:r>
          </w:p>
        </w:tc>
        <w:tc>
          <w:tcPr>
            <w:tcW w:type="dxa" w:w="4320"/>
          </w:tcPr>
          <w:p>
            <w:r>
              <w:t>39368473</w:t>
            </w:r>
          </w:p>
        </w:tc>
      </w:tr>
      <w:tr>
        <w:tc>
          <w:tcPr>
            <w:tcW w:type="dxa" w:w="4320"/>
          </w:tcPr>
          <w:p>
            <w:r>
              <w:t>arXiv ID</w:t>
            </w:r>
          </w:p>
        </w:tc>
        <w:tc>
          <w:tcPr>
            <w:tcW w:type="dxa" w:w="4320"/>
          </w:tcPr>
          <w:p>
            <w:r>
              <w:t>N/A</w:t>
            </w:r>
          </w:p>
        </w:tc>
      </w:tr>
    </w:tbl>
    <w:p>
      <w:pPr>
        <w:pStyle w:val="Heading2"/>
      </w:pPr>
      <w:r>
        <w:t>背景・課題</w:t>
      </w:r>
    </w:p>
    <w:p>
      <w:r>
        <w:t>カルバペネム耐性クレブシエラ・ニューモニエ（CRKP）は院内感染の主要な原因菌であり、腸管を感染リザーバーとして持つ。抗菌薬耐性の拡大によりCRKP感染症の治療選択肢は極めて限られており、ファージ療法は有望な代替手段として注目されているが、臨床応用に向けた合理的なカクテル設計法が確立されていなかった。</w:t>
      </w:r>
    </w:p>
    <w:p>
      <w:pPr>
        <w:pStyle w:val="Heading2"/>
      </w:pPr>
      <w:r>
        <w:t>手法</w:t>
      </w:r>
    </w:p>
    <w:p>
      <w:r>
        <w:t>CRKP株にトランスポゾンライブラリーを構築し、Caudoviricetes目の主要なクレブシエラファージ科（Autographiviridae、Drexlerviridae、Ackermannviridae等）それぞれに対する感染に必要な宿主因子を網羅的に同定した。同定された宿主因子情報を基に「クレブシエラPhageBank」を構築し、ファージ耐性変異体を生じさせにくい最適化ファージカクテルを設計。設計したカクテルをマウス腸管コロニー形成モデルに投与し、CRKP量・毒力因子の変化および共進化ダイナミクスを追跡した。16S rRNA・ショットガンメタゲノム解析で腸内細菌叢への影響を評価。</w:t>
      </w:r>
    </w:p>
    <w:p>
      <w:pPr>
        <w:pStyle w:val="Heading2"/>
      </w:pPr>
      <w:r>
        <w:t>結果</w:t>
      </w:r>
    </w:p>
    <w:p>
      <w:r>
        <w:t>最適化3ファージカクテルは、マウス腸内CRKPを最大3〜4 log₁₀ CFU/g低減させ、他の常在菌叢には有意な影響を与えなかった。ファージ受容体として機能する莢膜多糖（capsule）および脂多糖（LPS）に関わる毒力因子を失ったCRKP変異体が選択的に濃縮された。カクテル投与後7日目にはcps変異体（莢膜欠損）が全CRKP集団の約60%を占め、定着能の低下と感染性の減弱が確認された。一方、ファージ側でも宿主域が拡張した共進化変異体が出現し、耐性獲得に対抗する自己適応が観察された。腸内細菌叢の多様性（α多様性）はカクテル投与群と対照群で有意差なく、選択的標的能が示された。</w:t>
      </w:r>
    </w:p>
    <w:p>
      <w:pPr>
        <w:pStyle w:val="Heading2"/>
      </w:pPr>
      <w:r>
        <w:t>考察・新規性</w:t>
      </w:r>
    </w:p>
    <w:p>
      <w:r>
        <w:t>本研究はトランスポゾンスクリーニングによる宿主因子同定とPhageBank構築を組み合わせ、合理的ファージカクテル設計という新たな枠組みを提示した。ファージ療法によって毒力低下変異体を選択的に濃縮するという「誘導進化」戦略は、薬剤耐性感染症への新アプローチとして注目に値する。Cell Host &amp; Microbeへの掲載は、この戦略の科学的妥当性を示す重要な評価である。</w:t>
      </w:r>
    </w:p>
    <w:p>
      <w:pPr>
        <w:pStyle w:val="Heading2"/>
      </w:pPr>
      <w:r>
        <w:t>限界と今後の展望</w:t>
      </w:r>
    </w:p>
    <w:p>
      <w:r>
        <w:t>マウスモデルでの検証に留まり、ヒト腸管の免疫環境・腸内細菌叢の複雑性は反映されていない。共進化によって生じる高毒力・広宿主域ファージ変異体の出現が臨床的リスクとなりうる点も課題であり、PhageBankを拡充しつつ臨床試験への移行が望まれる。</w:t>
      </w:r>
    </w:p>
    <w:p>
      <w:pPr>
        <w:pStyle w:val="Heading2"/>
      </w:pPr>
      <w:r>
        <w:t>トピックへのインプリケーション</w:t>
      </w:r>
    </w:p>
    <w:p>
      <w:r>
        <w:t>ファージカクテルによる腸内CRKP選択的除去は、薬剤耐性菌の腸管デコロニゼーション戦略として菌叢改変ファージ療法の実現可能性を示し、T1（菌叢改変）領域の重要な先進事例となる。</w:t>
      </w:r>
    </w:p>
    <w:p>
      <w:r>
        <w:t>Metadata: PMID=39368473; DOI=10.1016/j.chom.2024.09.004; topic=1; generated=2026-05-19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