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Engrafting gut bacteriophages have potential to modulate microbial metabolism in fecal microbiota transplantation</w:t>
      </w:r>
    </w:p>
    <w:p>
      <w:pPr>
        <w:pStyle w:val="Heading2"/>
      </w:pPr>
      <w:r>
        <w:t>日本語訳タイトル</w:t>
      </w:r>
    </w:p>
    <w:p>
      <w:r>
        <w:t>腸内バクテリオファージの生着が便移植における微生物代謝を調節する可能性</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Ji S, Ahmad F, Peng B, Yang Y, Su M, Zhao X, Vatanen T</w:t>
            </w:r>
          </w:p>
        </w:tc>
      </w:tr>
      <w:tr>
        <w:tc>
          <w:tcPr>
            <w:tcW w:type="dxa" w:w="4320"/>
          </w:tcPr>
          <w:p>
            <w:r>
              <w:t>誌名</w:t>
            </w:r>
          </w:p>
        </w:tc>
        <w:tc>
          <w:tcPr>
            <w:tcW w:type="dxa" w:w="4320"/>
          </w:tcPr>
          <w:p>
            <w:r>
              <w:t>Microbiome</w:t>
            </w:r>
          </w:p>
        </w:tc>
      </w:tr>
      <w:tr>
        <w:tc>
          <w:tcPr>
            <w:tcW w:type="dxa" w:w="4320"/>
          </w:tcPr>
          <w:p>
            <w:r>
              <w:t>出版年</w:t>
            </w:r>
          </w:p>
        </w:tc>
        <w:tc>
          <w:tcPr>
            <w:tcW w:type="dxa" w:w="4320"/>
          </w:tcPr>
          <w:p>
            <w:r>
              <w:t>2025</w:t>
            </w:r>
          </w:p>
        </w:tc>
      </w:tr>
      <w:tr>
        <w:tc>
          <w:tcPr>
            <w:tcW w:type="dxa" w:w="4320"/>
          </w:tcPr>
          <w:p>
            <w:r>
              <w:t>DOI</w:t>
            </w:r>
          </w:p>
        </w:tc>
        <w:tc>
          <w:tcPr>
            <w:tcW w:type="dxa" w:w="4320"/>
          </w:tcPr>
          <w:p>
            <w:r>
              <w:t>10.1186/s40168-025-02046-5</w:t>
            </w:r>
          </w:p>
        </w:tc>
      </w:tr>
      <w:tr>
        <w:tc>
          <w:tcPr>
            <w:tcW w:type="dxa" w:w="4320"/>
          </w:tcPr>
          <w:p>
            <w:r>
              <w:t>PMID</w:t>
            </w:r>
          </w:p>
        </w:tc>
        <w:tc>
          <w:tcPr>
            <w:tcW w:type="dxa" w:w="4320"/>
          </w:tcPr>
          <w:p>
            <w:r>
              <w:t>40542451</w:t>
            </w:r>
          </w:p>
        </w:tc>
      </w:tr>
      <w:tr>
        <w:tc>
          <w:tcPr>
            <w:tcW w:type="dxa" w:w="4320"/>
          </w:tcPr>
          <w:p>
            <w:r>
              <w:t>巻号</w:t>
            </w:r>
          </w:p>
        </w:tc>
        <w:tc>
          <w:tcPr>
            <w:tcW w:type="dxa" w:w="4320"/>
          </w:tcPr>
          <w:p>
            <w:r>
              <w:t>Vol. 13, Article 149</w:t>
            </w:r>
          </w:p>
        </w:tc>
      </w:tr>
    </w:tbl>
    <w:p>
      <w:pPr>
        <w:pStyle w:val="Heading2"/>
      </w:pPr>
      <w:r>
        <w:t>背景・課題</w:t>
      </w:r>
    </w:p>
    <w:p>
      <w:r>
        <w:t>便微生物移植（FMT）は難治性Clostridioides difficile感染症（rCDI）などの治療に広く使われているが、その治療効果にバクテリオファージの生着がどの程度寄与するかは不明であった。腸内ファージームの変動が宿主菌叢の代謝機能に与える影響を体系的に評価した研究が少なく、FMT成功と失敗の予測因子としてのファージの役割が未解明のまま残されていた。</w:t>
      </w:r>
    </w:p>
    <w:p>
      <w:pPr>
        <w:pStyle w:val="Heading2"/>
      </w:pPr>
      <w:r>
        <w:t>手法</w:t>
      </w:r>
    </w:p>
    <w:p>
      <w:r>
        <w:t>FMTドナーおよびレシピエントのショットガンメタゲノムデータを含む過去の公開データセット23研究をメタ解析した。各サンプルから腸内ファージームをde novoアセンブリし、vConTACT2およびphage-specific HMMプロファイルで機能アノテーションを実施。ドナー由来ファージのレシピエントへの生着率を条件ごとに算出し、生着ファージと微生物代謝経路（KEGG）との共変動を解析した。また、temperate/virulentファージ比率と疾患転帰の関連をロジスティック回帰で評価した。</w:t>
      </w:r>
    </w:p>
    <w:p>
      <w:pPr>
        <w:pStyle w:val="Heading2"/>
      </w:pPr>
      <w:r>
        <w:t>結果</w:t>
      </w:r>
    </w:p>
    <w:p>
      <w:r>
        <w:t>rCDI患者ではFMT後にレシピエントのファージームプロファイルがドナーへと有意にシフトし（Bray-Curtis距離の減少）、ファージα多様性（Shannon指数）も増加した。rCDI患者における生着率は他疾患（IBD、代謝症候群等）より高く、temperate（溶原性）ファージが占める割合が顕著に大きかった。生着した溶原性ファージと短鎖脂肪酸（SCFA）産生経路遺伝子の保有率に正の相関が認められた（ρ = 0.47）。一方、lytic（溶菌性）ファージの生着率は条件間で一貫して低かった。ドナーとレシピエント間のファージームの類似度が高いほどFMT成功率が高い傾向が示された。</w:t>
      </w:r>
    </w:p>
    <w:p>
      <w:pPr>
        <w:pStyle w:val="Heading2"/>
      </w:pPr>
      <w:r>
        <w:t>考察・新規性</w:t>
      </w:r>
    </w:p>
    <w:p>
      <w:r>
        <w:t>本研究はFMTにおけるバクテリオファージの生着が菌叢機能回復に寄与する可能性を、23研究にわたる大規模メタ解析で初めて系統的に示した点が新規性として挙げられる。溶原性ファージが優先的に生着しSCFA産生を間接的に支援するというモデルは、ファージを治療的ツールとして積極利用する設計指針を提供する。また、ドナー選択基準にファージームの適合性を加える重要性を提唱した。</w:t>
      </w:r>
    </w:p>
    <w:p>
      <w:pPr>
        <w:pStyle w:val="Heading2"/>
      </w:pPr>
      <w:r>
        <w:t>限界と今後の展望</w:t>
      </w:r>
    </w:p>
    <w:p>
      <w:r>
        <w:t>本研究は二次データを用いたメタ解析であり、前向き介入試験ではないため因果関係の立証には限界がある。各原著研究でシーケンス深度・サンプリング時点が異なるため生着率推定に不均一性が残る。今後はファージームを最適化したドナーを選定するプロスペクティブRCTが求められる。</w:t>
      </w:r>
    </w:p>
    <w:p>
      <w:pPr>
        <w:pStyle w:val="Heading2"/>
      </w:pPr>
      <w:r>
        <w:t>トピックへのインプリケーション</w:t>
      </w:r>
    </w:p>
    <w:p>
      <w:r>
        <w:t>FMTの治療効果をファージ生着の観点から解析した本研究は、バクテリオファージを菌叢改変ツールとして設計・選択する際の定量的根拠を提供し、T1研究の方向性を大きく前進させる。</w:t>
      </w:r>
    </w:p>
    <w:p>
      <w:r>
        <w:t>Metadata: PMID=40542451; DOI=10.1186/s40168-025-02046-5; topic=1; generated=2026-06-22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