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Metagenome-inspired libraries to engineer phage M13 for targeted killing of Gram-negative bacterial species</w:t>
      </w:r>
    </w:p>
    <w:p>
      <w:pPr>
        <w:pStyle w:val="Heading2"/>
      </w:pPr>
      <w:r>
        <w:t>日本語訳タイトル</w:t>
      </w:r>
    </w:p>
    <w:p>
      <w:r>
        <w:t>メタゲノム由来ライブラリーによるM13ファージ工学：グラム陰性菌の標的殺菌に向けた合成ファージ設計</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Yang Y, Kang D, Mihalache B, Vexler S, Jain S, Peng H, Annabi N, Yang S, Chen IA</w:t>
            </w:r>
          </w:p>
        </w:tc>
      </w:tr>
      <w:tr>
        <w:tc>
          <w:tcPr>
            <w:tcW w:type="dxa" w:w="4320"/>
          </w:tcPr>
          <w:p>
            <w:r>
              <w:t>誌名</w:t>
            </w:r>
          </w:p>
        </w:tc>
        <w:tc>
          <w:tcPr>
            <w:tcW w:type="dxa" w:w="4320"/>
          </w:tcPr>
          <w:p>
            <w:r>
              <w:t>Nucleic Acids Research</w:t>
            </w:r>
          </w:p>
        </w:tc>
      </w:tr>
      <w:tr>
        <w:tc>
          <w:tcPr>
            <w:tcW w:type="dxa" w:w="4320"/>
          </w:tcPr>
          <w:p>
            <w:r>
              <w:t>出版年</w:t>
            </w:r>
          </w:p>
        </w:tc>
        <w:tc>
          <w:tcPr>
            <w:tcW w:type="dxa" w:w="4320"/>
          </w:tcPr>
          <w:p>
            <w:r>
              <w:t>2025</w:t>
            </w:r>
          </w:p>
        </w:tc>
      </w:tr>
      <w:tr>
        <w:tc>
          <w:tcPr>
            <w:tcW w:type="dxa" w:w="4320"/>
          </w:tcPr>
          <w:p>
            <w:r>
              <w:t>DOI</w:t>
            </w:r>
          </w:p>
        </w:tc>
        <w:tc>
          <w:tcPr>
            <w:tcW w:type="dxa" w:w="4320"/>
          </w:tcPr>
          <w:p>
            <w:r>
              <w:t>10.1093/nar/gkaf984</w:t>
            </w:r>
          </w:p>
        </w:tc>
      </w:tr>
      <w:tr>
        <w:tc>
          <w:tcPr>
            <w:tcW w:type="dxa" w:w="4320"/>
          </w:tcPr>
          <w:p>
            <w:r>
              <w:t>PMID</w:t>
            </w:r>
          </w:p>
        </w:tc>
        <w:tc>
          <w:tcPr>
            <w:tcW w:type="dxa" w:w="4320"/>
          </w:tcPr>
          <w:p>
            <w:r>
              <w:t>N/A</w:t>
            </w:r>
          </w:p>
        </w:tc>
      </w:tr>
      <w:tr>
        <w:tc>
          <w:tcPr>
            <w:tcW w:type="dxa" w:w="4320"/>
          </w:tcPr>
          <w:p>
            <w:r>
              <w:t>巻/頁</w:t>
            </w:r>
          </w:p>
        </w:tc>
        <w:tc>
          <w:tcPr>
            <w:tcW w:type="dxa" w:w="4320"/>
          </w:tcPr>
          <w:p>
            <w:r>
              <w:t>Vol. 53, Issue 18, gkaf984</w:t>
            </w:r>
          </w:p>
        </w:tc>
      </w:tr>
    </w:tbl>
    <w:p>
      <w:pPr>
        <w:pStyle w:val="Heading2"/>
      </w:pPr>
      <w:r>
        <w:t>背景・課題</w:t>
      </w:r>
    </w:p>
    <w:p>
      <w:r>
        <w:t>薬剤耐性グラム陰性菌（P. aeruginosa等）による感染症は、従来の抗菌薬が無効化しつつあり深刻な臨床問題となっている。ファージ療法は代替手段として注目されるが、天然ファージの宿主域は極めて狭く、臨床分離株に適合するファージを迅速に同定・開発することが困難である。Inovirusファージ（M13など）は遺伝子操作が容易であるが、宿主特異性を決定する受容体結合タンパク質（RBP）の多様性活用が課題となっていた。</w:t>
      </w:r>
    </w:p>
    <w:p>
      <w:pPr>
        <w:pStyle w:val="Heading2"/>
      </w:pPr>
      <w:r>
        <w:t>手法</w:t>
      </w:r>
    </w:p>
    <w:p>
      <w:r>
        <w:t>研究グループはinovirusファージのメタゲノムに基づき、多様な受容体結合タンパク質（RBP）を発現するM13ファージコンビナトリアルライブラリーを構築した（メタゲノム由来のRBP配列を系統的に組み込んだ合成ライブラリー）。2ラウンドのプルダウン選択（pull-down selection）により、病原性グラム陰性菌に結合するファージ変異体をスクリーニングした。選択されたM13PABバリアントの標的特異性をP. aeruginosa複数株（臨床分離株含む）に対して検証した。さらに、殺菌活性を付与するため、抗菌ペプチドcolistinをM13PABビリオンに化学的に架橋結合させたcolistin-M13PAB複合体を作製し、MIC（最小阻止濃度）試験およびin vitro細胞毒性評価を実施した。</w:t>
      </w:r>
    </w:p>
    <w:p>
      <w:pPr>
        <w:pStyle w:val="Heading2"/>
      </w:pPr>
      <w:r>
        <w:t>結果</w:t>
      </w:r>
    </w:p>
    <w:p>
      <w:r>
        <w:t>2ラウンドのプルダウン選択により、P. aeruginosaを含む複数のグラム陰性病原菌に結合するM13PABバリアントが同定された。M13PABは複数のP. aeruginosa臨床分離株に広く結合することが確認された。colistin-M13PAB複合体はP. aeruginosa複数株に対してcolistin単剤と比較してMICを1〜2桁低下させた。colistin-M13PAB複合体はin vitroにおいて溶血活性や細胞毒性を示さなかった。このアプローチはP. aeruginosa以外のグラム陰性菌に対しても選択可能であることが示された。メタゲノム由来RBPライブラリーは、天然ファージにはない多様な標的結合プロファイルを提供した。</w:t>
      </w:r>
    </w:p>
    <w:p>
      <w:pPr>
        <w:pStyle w:val="Heading2"/>
      </w:pPr>
      <w:r>
        <w:t>考察・新規性</w:t>
      </w:r>
    </w:p>
    <w:p>
      <w:r>
        <w:t>本研究の革新性は、ヒト腸内・環境メタゲノムに蓄積されたinovirus多様性を活用し、既存のM13ファージを汎用的な抗菌プラットフォームへと再設計した点にある。合成ライブラリーと選択工学の組み合わせにより、任意のグラム陰性病原体に対するファージ変異体を迅速に取得できる「ファージ開発プラットフォーム」としての概念を実証した。化学修飾（colistin架橋）と組み合わせることで、ファージ自体の宿主侵入能を活用した新規抗菌戦略を提示した。</w:t>
      </w:r>
    </w:p>
    <w:p>
      <w:pPr>
        <w:pStyle w:val="Heading2"/>
      </w:pPr>
      <w:r>
        <w:t>限界と今後の展望</w:t>
      </w:r>
    </w:p>
    <w:p>
      <w:r>
        <w:t>本研究はin vitro系での評価であり、動物モデルや臨床での有効性・安全性は未検証である。colistinとの複合体は耐性菌への効果が示されたが、colistin自体の腎毒性が臨床応用の障壁となり得る。今後は動物感染モデルでの評価とより低毒性の殺菌剤との組み合わせが求められる。</w:t>
      </w:r>
    </w:p>
    <w:p>
      <w:pPr>
        <w:pStyle w:val="Heading2"/>
      </w:pPr>
      <w:r>
        <w:t>トピックへのインプリケーション</w:t>
      </w:r>
    </w:p>
    <w:p>
      <w:r>
        <w:t>メタゲノム情報を活用した合成ファージライブラリー設計（T2）の実用例として、任意の臨床標的菌に対するカスタムファージを迅速作製する枠組みを提供し、ファージ療法の「オン・デマンド」製造に向けた重要概念実証となる。</w:t>
      </w:r>
    </w:p>
    <w:p>
      <w:r>
        <w:t>Metadata: PMID=N/A; DOI=10.1093/nar/gkaf984; topic=2; generated=2026-07-16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