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bacteriophage-conditional mouse model reveals the impact of phages within a conventionally colonized gut microbiota</w:t>
      </w:r>
    </w:p>
    <w:p>
      <w:pPr>
        <w:pStyle w:val="Heading2"/>
      </w:pPr>
      <w:r>
        <w:t>日本語訳タイトル</w:t>
      </w:r>
    </w:p>
    <w:p>
      <w:r>
        <w:t>バクテリオファージ条件付きマウスモデルが通常定着腸内菌叢におけるファージの影響を明らかにする</w:t>
      </w:r>
    </w:p>
    <w:p>
      <w:pPr>
        <w:pStyle w:val="Heading2"/>
      </w:pPr>
      <w:r>
        <w:t>書誌情報</w:t>
      </w:r>
    </w:p>
    <w:tbl>
      <w:tblPr>
        <w:tblStyle w:val="TableGrid"/>
        <w:tblW w:type="auto" w:w="0"/>
        <w:tblLook w:firstColumn="1" w:firstRow="1" w:lastColumn="0" w:lastRow="0" w:noHBand="0" w:noVBand="1" w:val="04A0"/>
      </w:tblPr>
      <w:tblGrid>
        <w:gridCol w:w="4320"/>
        <w:gridCol w:w="4320"/>
      </w:tblGrid>
      <w:tr>
        <w:tc>
          <w:tcPr>
            <w:tcW w:type="dxa" w:w="4320"/>
          </w:tcPr>
          <w:p>
            <w:r>
              <w:t>著者</w:t>
            </w:r>
          </w:p>
        </w:tc>
        <w:tc>
          <w:tcPr>
            <w:tcW w:type="dxa" w:w="4320"/>
          </w:tcPr>
          <w:p>
            <w:r>
              <w:t>Franklin HC, Makhlouf R, Ha AD, Bataglioli RA, Baker ZR, Murphy SA, Jirsa H, Heuler J, Southard T, Aylward FO, Hsu BB</w:t>
            </w:r>
          </w:p>
        </w:tc>
      </w:tr>
      <w:tr>
        <w:tc>
          <w:tcPr>
            <w:tcW w:type="dxa" w:w="4320"/>
          </w:tcPr>
          <w:p>
            <w:r>
              <w:t>誌名</w:t>
            </w:r>
          </w:p>
        </w:tc>
        <w:tc>
          <w:tcPr>
            <w:tcW w:type="dxa" w:w="4320"/>
          </w:tcPr>
          <w:p>
            <w:r>
              <w:t>Cell Host &amp; Microbe</w:t>
            </w:r>
          </w:p>
        </w:tc>
      </w:tr>
      <w:tr>
        <w:tc>
          <w:tcPr>
            <w:tcW w:type="dxa" w:w="4320"/>
          </w:tcPr>
          <w:p>
            <w:r>
              <w:t>出版年</w:t>
            </w:r>
          </w:p>
        </w:tc>
        <w:tc>
          <w:tcPr>
            <w:tcW w:type="dxa" w:w="4320"/>
          </w:tcPr>
          <w:p>
            <w:r>
              <w:t>2025 (May 14; 33(5):745-758)</w:t>
            </w:r>
          </w:p>
        </w:tc>
      </w:tr>
      <w:tr>
        <w:tc>
          <w:tcPr>
            <w:tcW w:type="dxa" w:w="4320"/>
          </w:tcPr>
          <w:p>
            <w:r>
              <w:t>DOI</w:t>
            </w:r>
          </w:p>
        </w:tc>
        <w:tc>
          <w:tcPr>
            <w:tcW w:type="dxa" w:w="4320"/>
          </w:tcPr>
          <w:p>
            <w:r>
              <w:t>10.1016/j.chom.2025.04.002</w:t>
            </w:r>
          </w:p>
        </w:tc>
      </w:tr>
      <w:tr>
        <w:tc>
          <w:tcPr>
            <w:tcW w:type="dxa" w:w="4320"/>
          </w:tcPr>
          <w:p>
            <w:r>
              <w:t>PMID</w:t>
            </w:r>
          </w:p>
        </w:tc>
        <w:tc>
          <w:tcPr>
            <w:tcW w:type="dxa" w:w="4320"/>
          </w:tcPr>
          <w:p>
            <w:r>
              <w:t>40300596</w:t>
            </w:r>
          </w:p>
        </w:tc>
      </w:tr>
      <w:tr>
        <w:tc>
          <w:tcPr>
            <w:tcW w:type="dxa" w:w="4320"/>
          </w:tcPr>
          <w:p>
            <w:r>
              <w:t>トピック</w:t>
            </w:r>
          </w:p>
        </w:tc>
        <w:tc>
          <w:tcPr>
            <w:tcW w:type="dxa" w:w="4320"/>
          </w:tcPr>
          <w:p>
            <w:r>
              <w:t>T1: バクテリオファージによる菌叢改変</w:t>
            </w:r>
          </w:p>
        </w:tc>
      </w:tr>
    </w:tbl>
    <w:p>
      <w:pPr>
        <w:pStyle w:val="Heading2"/>
      </w:pPr>
      <w:r>
        <w:t>背景・課題</w:t>
      </w:r>
    </w:p>
    <w:p>
      <w:r>
        <w:t>腸内菌叢に常在するバクテリオファージが宿主腸内微生物コミュニティの構造・機能に及ぼす影響は、従来モデルの制約から十分に理解されていなかった。従来の研究では無菌マウスや特定菌定着モデルが主に使われており、多様な常在菌を保持したまま腸内ファージだけを選択的に操作できる系が存在しなかった。この技術的空白がファージと腸内細菌・宿主免疫の相互作用解析を阻んでいた。</w:t>
      </w:r>
    </w:p>
    <w:p>
      <w:pPr>
        <w:pStyle w:val="Heading2"/>
      </w:pPr>
      <w:r>
        <w:t>手法</w:t>
      </w:r>
    </w:p>
    <w:p>
      <w:r>
        <w:t>研究チーム（Virginia Tech、Hsu 研）は、アクリフラビン（acriflavine）を経口投与することで、腸内細菌には大きな影響を与えずに腸内毒性ファージ（virulent phage）を選択的に枯渇させる手法を開発した。この系を BaCon（Bacteriophage-Conditional）マウスモデルと命名した。腸内ファージ密度は経口ガバージュによる再導入（reconstitution）で回復できる。モデル検証には 16S rRNA アンプリコンシーケンスによる細菌叢解析、メタゲノム解析によるウイルスコミュニティ解析を実施した。次に、アンピシリン（ampicillin）投与時のファージ有無（phage-depleted vs phage-reconstituted）による腸内細菌への影響を比較検討した。各群でアルファ多様性・ベータ多様性・属レベル細菌組成変化を統計解析した。</w:t>
      </w:r>
    </w:p>
    <w:p>
      <w:pPr>
        <w:pStyle w:val="Heading2"/>
      </w:pPr>
      <w:r>
        <w:t>結果</w:t>
      </w:r>
    </w:p>
    <w:p>
      <w:r>
        <w:t>① アクリフラビン処理は腸内毒性ファージを選択的に枯渇させ、腸内細菌のアルファ多様性には有意な変化をもたらさなかった（菌叢組成の最大変動因子は個体の元々の菌叢組成であった）。② ファージ枯渇条件・再導入条件の間で、定常状態（equilibrium）においては細菌組成に有意な差は認められなかった。③ アンピシリン投与実験では、ファージ再導入群においてファージ枯渇群と比較して複数の腸内細菌属（commensal genera）の相対存在量が有意に大きく減少した。④ この結果は、ファージが抗生物質による菌叢へのコラテラルダメージを増幅することを示す。⑤ 効果の大きさは個体の保有する毒性ファージ組成に依存し、個体間差異の一因となることが示唆された。⑥ ウイルスコミュニティ解析では、アクリフラビン処理後に毒性ファージ(lytic phage)の顕著な枯渇が確認された。</w:t>
      </w:r>
    </w:p>
    <w:p>
      <w:pPr>
        <w:pStyle w:val="Heading2"/>
      </w:pPr>
      <w:r>
        <w:t>考察・新規性</w:t>
      </w:r>
    </w:p>
    <w:p>
      <w:r>
        <w:t>本研究の最大の新規性は、通常定着マウスの腸内細菌叢を保持したままファージのみを選択的に操作できる世界初のモデル系（BaCon モデル）の構築にある。従来の知見では定常状態における腸内ファージの影響は限定的とされていたが、抗生物質投与などの外乱下ではファージが腸内細菌叢の攪乱を増幅するという新たなメカニズムを実証した。この知見は抗生物質治療後の dysbiosis やファージ療法の副作用を理解するうえで重要なパラダイム転換を示す。さらに、腸内ファージ組成の個体差が抗生物質応答のばらつきを生む要因となる可能性を初めて示した。</w:t>
      </w:r>
    </w:p>
    <w:p>
      <w:pPr>
        <w:pStyle w:val="Heading2"/>
      </w:pPr>
      <w:r>
        <w:t>限界と今後の展望</w:t>
      </w:r>
    </w:p>
    <w:p>
      <w:r>
        <w:t>アクリフラビンの作用は主に毒性ファージを標的とし、温和性ファージ（lysogenic phage）の除去は限定的であるため、ファージ叢全体の操作系としては不完全である。また本研究はマウスモデルに限定されており、ヒト腸内ファージ叢の複雑性への外挿には更なる検証が必要である。今後は特定ファージ種を導入・除去した精密実験や、ヒト腸内オルガノイドへの応用、臨床的なファージ療法プロトコルへの示唆が期待される。</w:t>
      </w:r>
    </w:p>
    <w:p>
      <w:pPr>
        <w:pStyle w:val="Heading2"/>
      </w:pPr>
      <w:r>
        <w:t>トピック T1 へのインプリケーション</w:t>
      </w:r>
    </w:p>
    <w:p>
      <w:r>
        <w:t>BaCon モデルはバクテリオファージを用いた腸内菌叢改変（phage-mediated microbiome modulation）の基礎研究に革命的なツールを提供する。ファージ療法設計において抗生物質との併用時の菌叢破壊リスクを定量評価できる基盤となる。</w:t>
      </w:r>
    </w:p>
    <w:p>
      <w:r>
        <w:t>Metadata: PMID=40300596; DOI=10.1016/j.chom.2025.04.002; topic=1; generated=2026-04-26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