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eastAsia="Yu Gothic"/>
        </w:rPr>
        <w:t>Gene editing by SSB/CRISPR-Cas9 ribonucleoprotein in bacteria</w:t>
      </w:r>
    </w:p>
    <w:p>
      <w:pPr>
        <w:pStyle w:val="Heading2"/>
      </w:pPr>
      <w:r>
        <w:rPr>
          <w:rFonts w:ascii="Yu Gothic" w:hAnsi="Yu Gothic" w:eastAsia="Yu Gothic"/>
        </w:rPr>
        <w:t>日本語訳タイトル</w:t>
      </w:r>
    </w:p>
    <w:p>
      <w:r>
        <w:rPr>
          <w:rFonts w:ascii="Yu Gothic" w:hAnsi="Yu Gothic"/>
        </w:rPr>
        <w:t>リポソーム介在型SSB/CRISPR-Cas9リボ核タンパク質による細菌ゲノム編集</w:t>
      </w:r>
    </w:p>
    <w:p>
      <w:pPr>
        <w:pStyle w:val="Heading2"/>
      </w:pPr>
      <w:r>
        <w:rPr>
          <w:rFonts w:ascii="Yu Gothic" w:hAnsi="Yu Gothic" w:eastAsia="Yu Gothic"/>
        </w:rPr>
        <w:t>書誌情報</w:t>
      </w:r>
    </w:p>
    <w:tbl>
      <w:tblPr>
        <w:tblStyle w:val="TableGrid"/>
        <w:tblW w:type="auto" w:w="0"/>
        <w:tblLook w:firstColumn="1" w:firstRow="1" w:lastColumn="0" w:lastRow="0" w:noHBand="0" w:noVBand="1" w:val="04A0"/>
      </w:tblPr>
      <w:tblGrid>
        <w:gridCol w:w="4320"/>
        <w:gridCol w:w="4320"/>
      </w:tblGrid>
      <w:tr>
        <w:tc>
          <w:tcPr>
            <w:tcW w:type="dxa" w:w="4320"/>
          </w:tcPr>
          <w:p>
            <w:r>
              <w:rPr>
                <w:rFonts w:ascii="Yu Gothic" w:hAnsi="Yu Gothic"/>
                <w:sz w:val="18"/>
              </w:rPr>
              <w:t>著者</w:t>
            </w:r>
          </w:p>
        </w:tc>
        <w:tc>
          <w:tcPr>
            <w:tcW w:type="dxa" w:w="4320"/>
          </w:tcPr>
          <w:p>
            <w:r>
              <w:rPr>
                <w:rFonts w:ascii="Yu Gothic" w:hAnsi="Yu Gothic"/>
                <w:sz w:val="18"/>
              </w:rPr>
              <w:t>Chai R, Sun W, Xu Z, Yao X, Chen S, Wang H, Guo J, Zhang Q, Yang Y, Li T, Chen S, Qiu L, et al.</w:t>
            </w:r>
          </w:p>
        </w:tc>
      </w:tr>
      <w:tr>
        <w:tc>
          <w:tcPr>
            <w:tcW w:type="dxa" w:w="4320"/>
          </w:tcPr>
          <w:p>
            <w:r>
              <w:rPr>
                <w:rFonts w:ascii="Yu Gothic" w:hAnsi="Yu Gothic"/>
                <w:sz w:val="18"/>
              </w:rPr>
              <w:t>誌名</w:t>
            </w:r>
          </w:p>
        </w:tc>
        <w:tc>
          <w:tcPr>
            <w:tcW w:type="dxa" w:w="4320"/>
          </w:tcPr>
          <w:p>
            <w:r>
              <w:rPr>
                <w:rFonts w:ascii="Yu Gothic" w:hAnsi="Yu Gothic"/>
                <w:sz w:val="18"/>
              </w:rPr>
              <w:t>International Journal of Biological Macromolecules</w:t>
            </w:r>
          </w:p>
        </w:tc>
      </w:tr>
      <w:tr>
        <w:tc>
          <w:tcPr>
            <w:tcW w:type="dxa" w:w="4320"/>
          </w:tcPr>
          <w:p>
            <w:r>
              <w:rPr>
                <w:rFonts w:ascii="Yu Gothic" w:hAnsi="Yu Gothic"/>
                <w:sz w:val="18"/>
              </w:rPr>
              <w:t>出版年</w:t>
            </w:r>
          </w:p>
        </w:tc>
        <w:tc>
          <w:tcPr>
            <w:tcW w:type="dxa" w:w="4320"/>
          </w:tcPr>
          <w:p>
            <w:r>
              <w:rPr>
                <w:rFonts w:ascii="Yu Gothic" w:hAnsi="Yu Gothic"/>
                <w:sz w:val="18"/>
              </w:rPr>
              <w:t>2024</w:t>
            </w:r>
          </w:p>
        </w:tc>
      </w:tr>
      <w:tr>
        <w:tc>
          <w:tcPr>
            <w:tcW w:type="dxa" w:w="4320"/>
          </w:tcPr>
          <w:p>
            <w:r>
              <w:rPr>
                <w:rFonts w:ascii="Yu Gothic" w:hAnsi="Yu Gothic"/>
                <w:sz w:val="18"/>
              </w:rPr>
              <w:t>DOI</w:t>
            </w:r>
          </w:p>
        </w:tc>
        <w:tc>
          <w:tcPr>
            <w:tcW w:type="dxa" w:w="4320"/>
          </w:tcPr>
          <w:p>
            <w:r>
              <w:rPr>
                <w:rFonts w:ascii="Yu Gothic" w:hAnsi="Yu Gothic"/>
                <w:sz w:val="18"/>
              </w:rPr>
              <w:t>10.1016/j.ijbiomac.2024.135065</w:t>
            </w:r>
          </w:p>
        </w:tc>
      </w:tr>
      <w:tr>
        <w:tc>
          <w:tcPr>
            <w:tcW w:type="dxa" w:w="4320"/>
          </w:tcPr>
          <w:p>
            <w:r>
              <w:rPr>
                <w:rFonts w:ascii="Yu Gothic" w:hAnsi="Yu Gothic"/>
                <w:sz w:val="18"/>
              </w:rPr>
              <w:t>PMID / arXiv ID</w:t>
            </w:r>
          </w:p>
        </w:tc>
        <w:tc>
          <w:tcPr>
            <w:tcW w:type="dxa" w:w="4320"/>
          </w:tcPr>
          <w:p>
            <w:r>
              <w:rPr>
                <w:rFonts w:ascii="Yu Gothic" w:hAnsi="Yu Gothic"/>
                <w:sz w:val="18"/>
              </w:rPr>
              <w:t>39187111</w:t>
            </w:r>
          </w:p>
        </w:tc>
      </w:tr>
    </w:tbl>
    <w:p>
      <w:pPr>
        <w:pStyle w:val="Heading2"/>
      </w:pPr>
      <w:r>
        <w:rPr>
          <w:rFonts w:ascii="Yu Gothic" w:hAnsi="Yu Gothic" w:eastAsia="Yu Gothic"/>
        </w:rPr>
        <w:t>背景・課題</w:t>
      </w:r>
    </w:p>
    <w:p>
      <w:r>
        <w:rPr>
          <w:rFonts w:ascii="Yu Gothic" w:hAnsi="Yu Gothic"/>
        </w:rPr>
        <w:t>CRISPR-Cas9を用いた細菌ゲノム編集は代謝工学・薬剤耐性排除・微生物研究において重要だが、グラム陰性菌の外膜・ペプチドグリカン層がRNP（リボ核タンパク質）複合体の細菌内輸送を著しく妨げる。電気穿孔法や形質転換などの従来手法は細菌を損傷しやすく、全菌種に適用できないという課題がある。</w:t>
      </w:r>
    </w:p>
    <w:p>
      <w:pPr>
        <w:pStyle w:val="Heading2"/>
      </w:pPr>
      <w:r>
        <w:rPr>
          <w:rFonts w:ascii="Yu Gothic" w:hAnsi="Yu Gothic" w:eastAsia="Yu Gothic"/>
        </w:rPr>
        <w:t>手法</w:t>
      </w:r>
    </w:p>
    <w:p>
      <w:r>
        <w:rPr>
          <w:rFonts w:ascii="Yu Gothic" w:hAnsi="Yu Gothic"/>
        </w:rPr>
        <w:t>E. coli、Pseudomonas、Bacillus subtilisの3菌種からリゾチーム処理によりプロトプラスト（細胞壁除去細菌）を調製。SSB（一本鎖DNA結合タンパク質）をCas9 RNP（Cas9タンパク質＋sgRNA）と複合体化し、カチオン性リポソームに封入。リポソーム-プロトプラスト融合によりSSB/Cas9 RNP複合体を細菌内に直接導入。標的遺伝子はupp（ウラシルホスホリボシルトランスフェラーゼ）とし、5-フルオロウラシル（5-FU）耐性で選択後、サンガーシーケンシングで変異導入を確認した。</w:t>
      </w:r>
    </w:p>
    <w:p>
      <w:pPr>
        <w:pStyle w:val="Heading2"/>
      </w:pPr>
      <w:r>
        <w:rPr>
          <w:rFonts w:ascii="Yu Gothic" w:hAnsi="Yu Gothic" w:eastAsia="Yu Gothic"/>
        </w:rPr>
        <w:t>結果</w:t>
      </w:r>
    </w:p>
    <w:p>
      <w:r>
        <w:rPr>
          <w:rFonts w:ascii="Yu Gothic" w:hAnsi="Yu Gothic"/>
        </w:rPr>
        <w:t>リポソーム媒介輸送によりSSB/CRISPR-Cas9 RNPの細菌内導入に成功。upp遺伝子ノックアウト効率：E. coli 9.75%、Pseudomonas 5.02%、B. subtilis 8.37%。シーケンシング解析で全編集コロニーが100%非相同末端結合（NHEJ）由来と確認。SSBの添加はCas9 RNP単独と比較してゲノム編集効率を向上させた。3菌種への適用成功はリポソーム-プロトプラスト系の汎用性を実証した。電気穿孔法を用いない非侵襲的な細菌ゲノム編集が初めて実証された。</w:t>
      </w:r>
    </w:p>
    <w:p>
      <w:pPr>
        <w:pStyle w:val="Heading2"/>
      </w:pPr>
      <w:r>
        <w:rPr>
          <w:rFonts w:ascii="Yu Gothic" w:hAnsi="Yu Gothic" w:eastAsia="Yu Gothic"/>
        </w:rPr>
        <w:t>考察・新規性</w:t>
      </w:r>
    </w:p>
    <w:p>
      <w:r>
        <w:rPr>
          <w:rFonts w:ascii="Yu Gothic" w:hAnsi="Yu Gothic"/>
        </w:rPr>
        <w:t>本研究はリポソーム-プロトプラスト融合によるCas9 RNPの細菌内輸送という新規アプローチを実証した。SSBの共送達がDNA一本鎖の安定化を通じてゲノム編集効率を向上させる機構が示唆される。カチオン性リポソームと陰性荷電プロトプラスト膜の静電相互作用が融合効率を決定する重要因子と考えられる。3菌種への適用はファージ研究・合成生物学での汎用的なツールとしての可能性を示す。</w:t>
      </w:r>
    </w:p>
    <w:p>
      <w:pPr>
        <w:pStyle w:val="Heading2"/>
      </w:pPr>
      <w:r>
        <w:rPr>
          <w:rFonts w:ascii="Yu Gothic" w:hAnsi="Yu Gothic" w:eastAsia="Yu Gothic"/>
        </w:rPr>
        <w:t>限界と今後の展望</w:t>
      </w:r>
    </w:p>
    <w:p>
      <w:r>
        <w:rPr>
          <w:rFonts w:ascii="Yu Gothic" w:hAnsi="Yu Gothic"/>
        </w:rPr>
        <w:t>プロトプラスト化（細胞壁除去）が前処理として必要なため、完全な細胞壁を持つ通常の細菌への直接適用は未達成。ノックアウト効率（5〜10%）はさらなる向上が求められ、高スループット応用への最適化が必要。プロトプラスト生存率・再生率がボトルネックとなり、実用的な変換効率の確保が課題。</w:t>
      </w:r>
    </w:p>
    <w:p>
      <w:pPr>
        <w:pStyle w:val="Heading2"/>
      </w:pPr>
      <w:r>
        <w:rPr>
          <w:rFonts w:ascii="Yu Gothic" w:hAnsi="Yu Gothic" w:eastAsia="Yu Gothic"/>
        </w:rPr>
        <w:t>トピックへのインプリケーション</w:t>
      </w:r>
    </w:p>
    <w:p>
      <w:r>
        <w:rPr>
          <w:rFonts w:ascii="Yu Gothic" w:hAnsi="Yu Gothic"/>
        </w:rPr>
        <w:t>リポソームによる核酸・タンパク質の細菌内輸送は、非侵襲的な細菌工学ツールとして、腸内菌叢改変・合成生物学・ファージ研究における細菌ゲノム操作の新基盤となる。</w:t>
      </w:r>
    </w:p>
    <w:p>
      <w:r>
        <w:t>Metadata: PMID=39187111; DOI=10.1016/j.ijbiomac.2024.135065; topic=4; generated=2026-06-28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