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rPr>
        <w:t>MoEPH: an adaptive fusion-based LLM for predicting phage-host interactions in health informatics</w:t>
      </w:r>
    </w:p>
    <w:p>
      <w:pPr>
        <w:pStyle w:val="Heading2"/>
      </w:pPr>
      <w:r>
        <w:rPr>
          <w:rFonts w:ascii="Yu Gothic" w:hAnsi="Yu Gothic"/>
        </w:rPr>
        <w:t>日本語訳タイトル</w:t>
      </w:r>
    </w:p>
    <w:p>
      <w:r>
        <w:rPr>
          <w:rFonts w:ascii="Yu Gothic" w:hAnsi="Yu Gothic"/>
        </w:rPr>
        <w:t>ヘルスインフォマティクスにおけるファージ-宿主相互作用予測のための適応的融合型大規模言語モデル MoEPH</w:t>
      </w:r>
    </w:p>
    <w:p>
      <w:pPr>
        <w:pStyle w:val="Heading2"/>
      </w:pPr>
      <w:r>
        <w:rPr>
          <w:rFonts w:ascii="Yu Gothic" w:hAnsi="Yu Gothic"/>
        </w:rPr>
        <w:t>論文情報</w:t>
      </w:r>
    </w:p>
    <w:tbl>
      <w:tblPr>
        <w:tblStyle w:val="TableGrid"/>
        <w:tblW w:type="auto" w:w="0"/>
        <w:tblLook w:firstColumn="1" w:firstRow="1" w:lastColumn="0" w:lastRow="0" w:noHBand="0" w:noVBand="1" w:val="04A0"/>
      </w:tblPr>
      <w:tblGrid>
        <w:gridCol w:w="4658"/>
        <w:gridCol w:w="4658"/>
      </w:tblGrid>
      <w:tr>
        <w:tc>
          <w:tcPr>
            <w:tcW w:type="dxa" w:w="4658"/>
          </w:tcPr>
          <w:p>
            <w:r>
              <w:t>著者</w:t>
            </w:r>
          </w:p>
        </w:tc>
        <w:tc>
          <w:tcPr>
            <w:tcW w:type="dxa" w:w="4658"/>
          </w:tcPr>
          <w:p>
            <w:r>
              <w:t>Qian Chen, Zihang Zhao, Min Li, Wenchen Song, Minfeng Xiao, Min Fang</w:t>
            </w:r>
          </w:p>
        </w:tc>
      </w:tr>
      <w:tr>
        <w:tc>
          <w:tcPr>
            <w:tcW w:type="dxa" w:w="4658"/>
          </w:tcPr>
          <w:p>
            <w:r>
              <w:t>誌名</w:t>
            </w:r>
          </w:p>
        </w:tc>
        <w:tc>
          <w:tcPr>
            <w:tcW w:type="dxa" w:w="4658"/>
          </w:tcPr>
          <w:p>
            <w:r>
              <w:t>Frontiers in Microbiology</w:t>
            </w:r>
          </w:p>
        </w:tc>
      </w:tr>
      <w:tr>
        <w:tc>
          <w:tcPr>
            <w:tcW w:type="dxa" w:w="4658"/>
          </w:tcPr>
          <w:p>
            <w:r>
              <w:t>出版年</w:t>
            </w:r>
          </w:p>
        </w:tc>
        <w:tc>
          <w:tcPr>
            <w:tcW w:type="dxa" w:w="4658"/>
          </w:tcPr>
          <w:p>
            <w:r>
              <w:t>2025 (September 18)</w:t>
            </w:r>
          </w:p>
        </w:tc>
      </w:tr>
      <w:tr>
        <w:tc>
          <w:tcPr>
            <w:tcW w:type="dxa" w:w="4658"/>
          </w:tcPr>
          <w:p>
            <w:r>
              <w:t>DOI</w:t>
            </w:r>
          </w:p>
        </w:tc>
        <w:tc>
          <w:tcPr>
            <w:tcW w:type="dxa" w:w="4658"/>
          </w:tcPr>
          <w:p>
            <w:r>
              <w:t>10.3389/fmicb.2025.1634705</w:t>
            </w:r>
          </w:p>
        </w:tc>
      </w:tr>
      <w:tr>
        <w:tc>
          <w:tcPr>
            <w:tcW w:type="dxa" w:w="4658"/>
          </w:tcPr>
          <w:p>
            <w:r>
              <w:t>PMID</w:t>
            </w:r>
          </w:p>
        </w:tc>
        <w:tc>
          <w:tcPr>
            <w:tcW w:type="dxa" w:w="4658"/>
          </w:tcPr>
          <w:p>
            <w:r>
              <w:t>N/A (PMC12488635)</w:t>
            </w:r>
          </w:p>
        </w:tc>
      </w:tr>
      <w:tr>
        <w:tc>
          <w:tcPr>
            <w:tcW w:type="dxa" w:w="4658"/>
          </w:tcPr>
          <w:p>
            <w:r>
              <w:t>分類</w:t>
            </w:r>
          </w:p>
        </w:tc>
        <w:tc>
          <w:tcPr>
            <w:tcW w:type="dxa" w:w="4658"/>
          </w:tcPr>
          <w:p>
            <w:r>
              <w:t>Original Research / Open Access</w:t>
            </w:r>
          </w:p>
        </w:tc>
      </w:tr>
    </w:tbl>
    <w:p>
      <w:pPr>
        <w:pStyle w:val="Heading2"/>
      </w:pPr>
      <w:r>
        <w:rPr>
          <w:rFonts w:ascii="Yu Gothic" w:hAnsi="Yu Gothic"/>
        </w:rPr>
        <w:t>背景・課題</w:t>
      </w:r>
    </w:p>
    <w:p>
      <w:r>
        <w:rPr>
          <w:rFonts w:ascii="Yu Gothic" w:hAnsi="Yu Gothic"/>
        </w:rPr>
        <w:t>抗菌薬耐性 (AMR) の拡大に伴い、ファージ療法においてファージ-宿主相互作用の正確な予測がますます重要となっている。既存の in silico モデルは汎化性が低く、不均衡なデータセット（宿主ごとのファージ数の偏り）や解釈可能性の欠如という課題を抱えており、臨床応用への障壁となっている。特定のファージが感染できる宿主菌株を高精度かつ効率的に予測する手法の開発が急務であった。</w:t>
      </w:r>
    </w:p>
    <w:p>
      <w:pPr>
        <w:pStyle w:val="Heading2"/>
      </w:pPr>
      <w:r>
        <w:rPr>
          <w:rFonts w:ascii="Yu Gothic" w:hAnsi="Yu Gothic"/>
        </w:rPr>
        <w:t>手法</w:t>
      </w:r>
    </w:p>
    <w:p>
      <w:r>
        <w:rPr>
          <w:rFonts w:ascii="Yu Gothic" w:hAnsi="Yu Gothic"/>
        </w:rPr>
        <w:t>MoEPH (Mixture-of-Experts for Phage-Host prediction) と名付けた新規フレームワークを構築した。タンパク質言語モデル ProtBERT および ProT5 によるトランスフォーマーベースのタンパク質埋め込み表現と、ドメイン特異的な統計的記述子（アミノ酸組成、k-mer頻度など）を統合した。Mixture-of-Experts (MoE) アーキテクチャにより、入力ファージ-宿主ペアの特性に応じて最適な専門家モジュールを適応的に選択する設計とした。AMR関連ファージ-宿主相互作用データセット（均衡・不均衡両条件）で学習・評価し、既存の代表的手法 (RaFah, PHP, DeepHost, etc.) との比較を行った。</w:t>
      </w:r>
    </w:p>
    <w:p>
      <w:pPr>
        <w:pStyle w:val="Heading2"/>
      </w:pPr>
      <w:r>
        <w:rPr>
          <w:rFonts w:ascii="Yu Gothic" w:hAnsi="Yu Gothic"/>
        </w:rPr>
        <w:t>結果</w:t>
      </w:r>
    </w:p>
    <w:p>
      <w:r>
        <w:rPr>
          <w:rFonts w:ascii="Yu Gothic" w:hAnsi="Yu Gothic"/>
        </w:rPr>
        <w:t>均衡データセットにおいて精度 99.6% を達成し、既存手法を大幅に上回った。高度に不均衡なデータセットでも既存手法比 31% の精度向上を実現した（実際のファージ-宿主データに近い条件での改善）。MoE アーキテクチャにより、単一モデルでは困難な多様なファージ-宿主ペアへの適応的対応が可能になった。SHAP値分析による予測根拠の可視化で解釈可能性も向上した。ProtBERT と ProT5 の融合が単一モデル使用より一貫して高精度であることを確認した。</w:t>
      </w:r>
    </w:p>
    <w:p>
      <w:pPr>
        <w:pStyle w:val="Heading2"/>
      </w:pPr>
      <w:r>
        <w:rPr>
          <w:rFonts w:ascii="Yu Gothic" w:hAnsi="Yu Gothic"/>
        </w:rPr>
        <w:t>考察・新規性</w:t>
      </w:r>
    </w:p>
    <w:p>
      <w:r>
        <w:rPr>
          <w:rFonts w:ascii="Yu Gothic" w:hAnsi="Yu Gothic"/>
        </w:rPr>
        <w:t>Mixture-of-Experts アーキテクチャをファージ-宿主相互作用予測に初めて適用した点が独創的である。複数のプロテインLLM (ProtBERT, ProT5) をアンサンブル的に統合することで、個別モデルの限界を克服した。不均衡データへの頑健性は、実際のメタゲノムデータに基づく予測で生じる現実的問題を解決する。AMRの文脈でのファージ選定を支援するヘルスインフォマティクスツールとしての実用価値も高い。</w:t>
      </w:r>
    </w:p>
    <w:p>
      <w:pPr>
        <w:pStyle w:val="Heading2"/>
      </w:pPr>
      <w:r>
        <w:rPr>
          <w:rFonts w:ascii="Yu Gothic" w:hAnsi="Yu Gothic"/>
        </w:rPr>
        <w:t>限界と今後の展望</w:t>
      </w:r>
    </w:p>
    <w:p>
      <w:r>
        <w:rPr>
          <w:rFonts w:ascii="Yu Gothic" w:hAnsi="Yu Gothic"/>
        </w:rPr>
        <w:t>Frontiers in Microbiology (オープンアクセス誌) 掲載であり、インパクトファクターの面で制約がある。株レベルの高解像度宿主特異性予測への拡張、および実験的検証との組み合わせによるバリデーションが今後の主要課題となる。また、メタゲノムデータへのダイレクト適用には追加の最適化が必要である。</w:t>
      </w:r>
    </w:p>
    <w:p>
      <w:pPr>
        <w:pStyle w:val="Heading2"/>
      </w:pPr>
      <w:r>
        <w:rPr>
          <w:rFonts w:ascii="Yu Gothic" w:hAnsi="Yu Gothic"/>
        </w:rPr>
        <w:t>トピックへのインプリケーション</w:t>
      </w:r>
    </w:p>
    <w:p>
      <w:r>
        <w:rPr>
          <w:rFonts w:ascii="Yu Gothic" w:hAnsi="Yu Gothic"/>
        </w:rPr>
        <w:t>LLMと専門家混合 (MoE) の組み合わせによるファージ-宿主予測の高精度化は、AIを活用したファージ研究 (T3) において、ファージ選定の自動化と精密化を推進し、次世代ファージ療法開発の加速に直接貢献する。</w:t>
      </w:r>
    </w:p>
    <w:p>
      <w:r>
        <w:t>Metadata: PMID=N/A; DOI=10.3389/fmicb.2025.1634705; topic=3; generated=2026-06-16</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