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Genome modelling and design across all domains of life with Evo 2</w:t>
      </w:r>
    </w:p>
    <w:p>
      <w:pPr>
        <w:pStyle w:val="Heading2"/>
      </w:pPr>
      <w:r>
        <w:t>日本語訳タイトル</w:t>
      </w:r>
    </w:p>
    <w:p>
      <w:r>
        <w:t>Evo 2：生命の全ドメインにまたがるゲノムモデリングと設計</w:t>
      </w:r>
    </w:p>
    <w:p>
      <w:pPr>
        <w:pStyle w:val="Heading2"/>
      </w:pPr>
      <w:r>
        <w:t>論文情報</w:t>
      </w:r>
    </w:p>
    <w:tbl>
      <w:tblPr>
        <w:tblStyle w:val="LightShading-Accent1"/>
        <w:tblW w:type="auto" w:w="0"/>
        <w:tblLook w:firstColumn="1" w:firstRow="1" w:lastColumn="0" w:lastRow="0" w:noHBand="0" w:noVBand="1" w:val="04A0"/>
      </w:tblPr>
      <w:tblGrid>
        <w:gridCol w:w="4320"/>
        <w:gridCol w:w="4320"/>
      </w:tblGrid>
      <w:tr>
        <w:tc>
          <w:tcPr>
            <w:tcW w:type="dxa" w:w="4320"/>
          </w:tcPr>
          <w:p>
            <w:r>
              <w:t>著者</w:t>
            </w:r>
          </w:p>
        </w:tc>
        <w:tc>
          <w:tcPr>
            <w:tcW w:type="dxa" w:w="4320"/>
          </w:tcPr>
          <w:p>
            <w:r>
              <w:t>Brixi G*, Durrant MG*, Ku J*, Naghipourfar M*, Poli M*, Sun G*, Brockman G, Chang D, Gonzalez GA, King SH, Li DB, Merchant AT, Nguyen E, Ricci-Tam C, Romero DW, Taghibakshi A, Vorontsov A, Yang B, Deng M, Gorton L, Nguyen N, Wang NK, ...; Burke DP†, Goodarzi H†, Hsu PD†, Hie BL† (*equally contributing; †co-supervising)</w:t>
            </w:r>
          </w:p>
        </w:tc>
      </w:tr>
      <w:tr>
        <w:tc>
          <w:tcPr>
            <w:tcW w:type="dxa" w:w="4320"/>
          </w:tcPr>
          <w:p>
            <w:r>
              <w:t>誌名</w:t>
            </w:r>
          </w:p>
        </w:tc>
        <w:tc>
          <w:tcPr>
            <w:tcW w:type="dxa" w:w="4320"/>
          </w:tcPr>
          <w:p>
            <w:r>
              <w:t>Nature</w:t>
            </w:r>
          </w:p>
        </w:tc>
      </w:tr>
      <w:tr>
        <w:tc>
          <w:tcPr>
            <w:tcW w:type="dxa" w:w="4320"/>
          </w:tcPr>
          <w:p>
            <w:r>
              <w:t>出版年</w:t>
            </w:r>
          </w:p>
        </w:tc>
        <w:tc>
          <w:tcPr>
            <w:tcW w:type="dxa" w:w="4320"/>
          </w:tcPr>
          <w:p>
            <w:r>
              <w:t>2026 (Vol. 652, pp. 1349-1361)</w:t>
            </w:r>
          </w:p>
        </w:tc>
      </w:tr>
      <w:tr>
        <w:tc>
          <w:tcPr>
            <w:tcW w:type="dxa" w:w="4320"/>
          </w:tcPr>
          <w:p>
            <w:r>
              <w:t>DOI</w:t>
            </w:r>
          </w:p>
        </w:tc>
        <w:tc>
          <w:tcPr>
            <w:tcW w:type="dxa" w:w="4320"/>
          </w:tcPr>
          <w:p>
            <w:r>
              <w:t>10.1038/s41586-026-10176-5</w:t>
            </w:r>
          </w:p>
        </w:tc>
      </w:tr>
      <w:tr>
        <w:tc>
          <w:tcPr>
            <w:tcW w:type="dxa" w:w="4320"/>
          </w:tcPr>
          <w:p>
            <w:r>
              <w:t>PMID</w:t>
            </w:r>
          </w:p>
        </w:tc>
        <w:tc>
          <w:tcPr>
            <w:tcW w:type="dxa" w:w="4320"/>
          </w:tcPr>
          <w:p>
            <w:r>
              <w:t>41781614</w:t>
            </w:r>
          </w:p>
        </w:tc>
      </w:tr>
      <w:tr>
        <w:tc>
          <w:tcPr>
            <w:tcW w:type="dxa" w:w="4320"/>
          </w:tcPr>
          <w:p>
            <w:r>
              <w:t>arXiv ID</w:t>
            </w:r>
          </w:p>
        </w:tc>
        <w:tc>
          <w:tcPr>
            <w:tcW w:type="dxa" w:w="4320"/>
          </w:tcPr>
          <w:p>
            <w:r>
              <w:t>bioRxiv: 10.1101/2025.02.18.638918 (preprint)</w:t>
            </w:r>
          </w:p>
        </w:tc>
      </w:tr>
    </w:tbl>
    <w:p>
      <w:pPr>
        <w:pStyle w:val="Heading2"/>
      </w:pPr>
      <w:r>
        <w:t>背景・課題</w:t>
      </w:r>
    </w:p>
    <w:p>
      <w:r>
        <w:t>従来の生物学的基盤モデル（biological foundation model）はタンパク質配列や限られた生物種のゲノムに特化しており、全生命ドメインを横断した汎用ゲノム言語モデルは存在しなかった。特にバクテリオファージゲノムの機能的変異予測や de novo 設計への応用は未開拓であった。既存の Evo 1（Evo）モデルは単一ヌクレオチド解像度・長コンテキスト処理に限界があり、治療用ファージを AI が自律設計できるか否かは未証明であった。</w:t>
      </w:r>
    </w:p>
    <w:p>
      <w:pPr>
        <w:pStyle w:val="Heading2"/>
      </w:pPr>
      <w:r>
        <w:t>手法</w:t>
      </w:r>
    </w:p>
    <w:p>
      <w:r>
        <w:t>① 細菌・古細菌・ファージ・真核生物を含む 128,000 種超のゲノムから合計 9.3 兆 bp の核酸配列を収録した「OpenGenome」コーパスを構築し、Evo 2（Stripedhyena ベースのハイブリッドアーキテクチャ）を訓練した。② コンテキスト長 100 万トークン・単一ヌクレオチド解像度の自己回帰言語モデルを用い、ゲノムスケールの文脈依存性をキャプチャした。③ タスク固有のファインチューニングなしでのゼロショット機能変異予測（BRCA1, TP53 等）を評価した。④ バクテリオファージ設計では、数千のΦX174 類縁ファージゲノムで教師あり fine-tuning を行い、285 個の de novo ファージゲノムを in silico 設計・化学合成・機能試験した。⑤ AI 設計ファージカクテルを ΦX174 耐性 E. coli 3 株に適用し、耐性克服能力を評価した。</w:t>
      </w:r>
    </w:p>
    <w:p>
      <w:pPr>
        <w:pStyle w:val="Heading2"/>
      </w:pPr>
      <w:r>
        <w:t>結果</w:t>
      </w:r>
    </w:p>
    <w:p>
      <w:r>
        <w:t>① Evo 2 は BRCA1 病原性変異、TP53 機能喪失変異、非コード変異を含む臨床的に重要な一塩基変異をファインチューニングなしで高精度に予測し、既存モデルを上回る性能を示した。② ΦX174 類縁ファージの de novo 設計では、285 個の Evo 2 設計ゲノムのうち 16 個が大腸菌（E. coli）内で感染・増殖を示す機能的ファージとして確認された（成功率 5.6%）。③ AI 設計ファージのカクテルは ΦX174 耐性を持つ E. coli 3 株すべての増殖を急速に抑制し、耐性を克服する治療的ポテンシャルを実証した。④ Evo 2 は長距離ゲノムコンテキスト（100 万トークン）を活用することで、短コンテキストモデルより優れた変異効果スコアを提供した。⑤ モデルの重み・学習コード・訓練データが完全オープンソースとして公開された。</w:t>
      </w:r>
    </w:p>
    <w:p>
      <w:pPr>
        <w:pStyle w:val="Heading2"/>
      </w:pPr>
      <w:r>
        <w:t>考察・新規性</w:t>
      </w:r>
    </w:p>
    <w:p>
      <w:r>
        <w:t>Evo 2 は全生命ドメインに対応する初めての大規模汎用ゲノム基盤モデルであり、AI 設計ゲノムから実際に感染性ファージが作製できることを世界で初めて示した点は革命的である。ファージゲノムの進化的制約を学習した基盤モデルが「機能する新ゲノム」を生成できることは、治療用ファージの迅速カスタム設計パラダイムを根本から変え得る。既存の Evo 1 の限界（コンテキスト長・訓練データ規模）を大幅に超え、非コード配列まで対応する点も重要な新規性である。</w:t>
      </w:r>
    </w:p>
    <w:p>
      <w:pPr>
        <w:pStyle w:val="Heading2"/>
      </w:pPr>
      <w:r>
        <w:t>限界と今後の展望</w:t>
      </w:r>
    </w:p>
    <w:p>
      <w:r>
        <w:t>現時点では設計ファージの成功率（~5.6%）はさらなる改善の余地があり、ΦX174 以外のファージ科への汎化性は限定的である。安全性評価（予期せぬ病原性ゲノム生成リスク）や大規模展開に向けた倫理的枠組みの構築も今後の課題である。ファージ以外のドメインで検証された予測精度が phage 設計においても再現されるかは引き続き検証が必要である。</w:t>
      </w:r>
    </w:p>
    <w:p>
      <w:pPr>
        <w:pStyle w:val="Heading2"/>
      </w:pPr>
      <w:r>
        <w:t>トピックへのインプリケーション</w:t>
      </w:r>
    </w:p>
    <w:p>
      <w:r>
        <w:t>AI による機能的ファージゲノムの de novo 設計成功は、T3「AI を活用したファージ研究」の最重要マイルストーンであり、ML/DL がファージ発見・宿主予測・設計を統合する研究加速の基盤となる。</w:t>
      </w:r>
    </w:p>
    <w:p>
      <w:r>
        <w:t>Metadata: PMID=41781614; DOI=10.1038/s41586-026-10176-5; topic=3; generated=2026-06-19</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Yu Gothic" w:hAnsi="Yu Gothic" w:eastAsia="Yu Gothic"/>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