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synthetic biology approach to assemble and reboot clinically relevant Pseudomonas aeruginosa tailed phages</w:t>
      </w:r>
    </w:p>
    <w:p>
      <w:pPr>
        <w:pStyle w:val="Heading2"/>
      </w:pPr>
      <w:r>
        <w:t>日本語訳タイトル</w:t>
      </w:r>
    </w:p>
    <w:p>
      <w:r>
        <w:t>臨床関連Pseudomonas aeruginosaテールドファージを合成・リブートするための合成生物学的アプローチ</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Ipoutcha T, Racharaks R, Huttelmaier S, Wilson CJ, Ozer EA, Hartmann EM</w:t>
            </w:r>
          </w:p>
        </w:tc>
      </w:tr>
      <w:tr>
        <w:tc>
          <w:tcPr>
            <w:tcW w:type="dxa" w:w="4320"/>
          </w:tcPr>
          <w:p>
            <w:r>
              <w:t>誌名</w:t>
            </w:r>
          </w:p>
        </w:tc>
        <w:tc>
          <w:tcPr>
            <w:tcW w:type="dxa" w:w="4320"/>
          </w:tcPr>
          <w:p>
            <w:r>
              <w:t>Microbiology Spectrum</w:t>
            </w:r>
          </w:p>
        </w:tc>
      </w:tr>
      <w:tr>
        <w:tc>
          <w:tcPr>
            <w:tcW w:type="dxa" w:w="4320"/>
          </w:tcPr>
          <w:p>
            <w:r>
              <w:t>出版年</w:t>
            </w:r>
          </w:p>
        </w:tc>
        <w:tc>
          <w:tcPr>
            <w:tcW w:type="dxa" w:w="4320"/>
          </w:tcPr>
          <w:p>
            <w:r>
              <w:t>2024</w:t>
            </w:r>
          </w:p>
        </w:tc>
      </w:tr>
      <w:tr>
        <w:tc>
          <w:tcPr>
            <w:tcW w:type="dxa" w:w="4320"/>
          </w:tcPr>
          <w:p>
            <w:r>
              <w:t>DOI</w:t>
            </w:r>
          </w:p>
        </w:tc>
        <w:tc>
          <w:tcPr>
            <w:tcW w:type="dxa" w:w="4320"/>
          </w:tcPr>
          <w:p>
            <w:r>
              <w:t>10.1128/spectrum.02897-23</w:t>
            </w:r>
          </w:p>
        </w:tc>
      </w:tr>
      <w:tr>
        <w:tc>
          <w:tcPr>
            <w:tcW w:type="dxa" w:w="4320"/>
          </w:tcPr>
          <w:p>
            <w:r>
              <w:t>PMID</w:t>
            </w:r>
          </w:p>
        </w:tc>
        <w:tc>
          <w:tcPr>
            <w:tcW w:type="dxa" w:w="4320"/>
          </w:tcPr>
          <w:p>
            <w:r>
              <w:t>38294230</w:t>
            </w:r>
          </w:p>
        </w:tc>
      </w:tr>
      <w:tr>
        <w:tc>
          <w:tcPr>
            <w:tcW w:type="dxa" w:w="4320"/>
          </w:tcPr>
          <w:p>
            <w:r>
              <w:t>巻号</w:t>
            </w:r>
          </w:p>
        </w:tc>
        <w:tc>
          <w:tcPr>
            <w:tcW w:type="dxa" w:w="4320"/>
          </w:tcPr>
          <w:p>
            <w:r>
              <w:t>Vol. 12, Issue 3, e0289723</w:t>
            </w:r>
          </w:p>
        </w:tc>
      </w:tr>
    </w:tbl>
    <w:p>
      <w:pPr>
        <w:pStyle w:val="Heading2"/>
      </w:pPr>
      <w:r>
        <w:t>背景・課題</w:t>
      </w:r>
    </w:p>
    <w:p>
      <w:r>
        <w:t>Pseudomonas aeruginosaは多剤耐性（MDR）感染症の主要病原菌であり、嚢胞性線維症（CF）患者で慢性肺感染を引き起こす。ファージ療法は有望な代替治療だが、既存のファージ分離株は宿主域が狭く、耐性獲得への対応や治療用ファージの迅速な設計・供給体制の構築が課題となっていた。合成生物学的手法によるP. aeruginosaファージの組立てとリブートの確立が求められていた。</w:t>
      </w:r>
    </w:p>
    <w:p>
      <w:pPr>
        <w:pStyle w:val="Heading2"/>
      </w:pPr>
      <w:r>
        <w:t>手法</w:t>
      </w:r>
    </w:p>
    <w:p>
      <w:r>
        <w:t>臨床分離P. aeruginosa株に感染する複数のテールドファージ（JG004, JG024, E79等）の全ゲノム配列を複数断片に分割し、Gibson Assembly法を用いてin vitroで合成ゲノムを構築した。構築したDNAをP. aeruginosa宿主細胞にエレクトロポレーションで導入し、感染性ファージとしてリブートする手順を最適化した。クロロホルム処理の有無、上清と溶解液の比較、変換効率を定量的に評価した。得られたリブートファージのゲノム完全性はNGSシーケンスで確認し、溶菌活性を臨床株パネルで検証した。</w:t>
      </w:r>
    </w:p>
    <w:p>
      <w:pPr>
        <w:pStyle w:val="Heading2"/>
      </w:pPr>
      <w:r>
        <w:t>結果</w:t>
      </w:r>
    </w:p>
    <w:p>
      <w:r>
        <w:t>JG024はクロロホルム感受性が高く、処理によりファージ力価が未処理溶解液（3.4 × 10⁸ PFU/mL）の約78.2%（4.57倍）低下した（P = 0.004）。上清回収法はクロロホルム抽出より11倍高いファージ力価を与えた（P = 0.01）。ゲノム合成・リブートにより、複数の臨床P. aeruginosa株に対して感染性を持つ組換えファージの産生に成功した。合成リブートファージのゲノム配列は親株と高い一致率を示し、設計通りの改変が確認された。最適化プロトコルにより、異なるファージタイプ（podophage, myovirus系）での適用拡大が実証された。</w:t>
      </w:r>
    </w:p>
    <w:p>
      <w:pPr>
        <w:pStyle w:val="Heading2"/>
      </w:pPr>
      <w:r>
        <w:t>考察・新規性</w:t>
      </w:r>
    </w:p>
    <w:p>
      <w:r>
        <w:t>本研究は臨床関連P. aeruginosaファージを合成生物学的に組立て・リブートする実証的プロトコルを確立し、ファージゲノム設計からin vivoでの感染性粒子産生までの一連のパイプラインを示した点で新規性がある。クロロホルム感受性と回収方法の最適化がリブート効率に重大な影響を与えることを定量的に明らかにした。この技術基盤は患者特異的なMDR P. aeruginosa感染へのオーダーメイドファージ療法への応用に直結する。</w:t>
      </w:r>
    </w:p>
    <w:p>
      <w:pPr>
        <w:pStyle w:val="Heading2"/>
      </w:pPr>
      <w:r>
        <w:t>限界と今後の展望</w:t>
      </w:r>
    </w:p>
    <w:p>
      <w:r>
        <w:t>本研究はin vitroおよび培養系での実証に留まり、動物モデルや臨床試験での有効性・安全性は未検証である。ゲノムサイズが大きい巨大ファージへの応用や、転写ターミネーターを持つ複雑ゲノムでのリブート効率向上が今後の課題である。今後はリブートゲノムへの機能的改変（宿主域拡大、抗バイオフィルム活性付与）との組み合わせが期待される。</w:t>
      </w:r>
    </w:p>
    <w:p>
      <w:pPr>
        <w:pStyle w:val="Heading2"/>
      </w:pPr>
      <w:r>
        <w:t>トピックへのインプリケーション</w:t>
      </w:r>
    </w:p>
    <w:p>
      <w:r>
        <w:t>臨床株ファージの合成・リブートを可能にした本研究は、T2（バクテリオファージ人工合成）分野において治療応用に直結する標準プロトコルの確立を意味し、迅速なファージ療法製剤化への道を開く。</w:t>
      </w:r>
    </w:p>
    <w:p>
      <w:r>
        <w:t>Metadata: PMID=38294230; DOI=10.1128/spectrum.02897-23; topic=2; generated=2026-06-22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