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Generative design of novel bacteriophages with genome language models</w:t>
      </w:r>
    </w:p>
    <w:p>
      <w:pPr>
        <w:pStyle w:val="Heading2"/>
      </w:pPr>
      <w:r>
        <w:t>日本語訳タイトル</w:t>
      </w:r>
    </w:p>
    <w:p>
      <w:r>
        <w:t>ゲノム言語モデルによる新規バクテリオファージの生成的設計</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King SH, Driscoll CL, Li DB, Guo D, Merchant AT, Brixi G, Wilkinson ME, Hie BL</w:t>
            </w:r>
          </w:p>
        </w:tc>
      </w:tr>
      <w:tr>
        <w:tc>
          <w:tcPr>
            <w:tcW w:type="dxa" w:w="4320"/>
          </w:tcPr>
          <w:p>
            <w:r>
              <w:t>誌名</w:t>
            </w:r>
          </w:p>
        </w:tc>
        <w:tc>
          <w:tcPr>
            <w:tcW w:type="dxa" w:w="4320"/>
          </w:tcPr>
          <w:p>
            <w:r>
              <w:t>bioRxiv (プレプリント; Arc Institute / Stanford University)</w:t>
            </w:r>
          </w:p>
        </w:tc>
      </w:tr>
      <w:tr>
        <w:tc>
          <w:tcPr>
            <w:tcW w:type="dxa" w:w="4320"/>
          </w:tcPr>
          <w:p>
            <w:r>
              <w:t>出版年</w:t>
            </w:r>
          </w:p>
        </w:tc>
        <w:tc>
          <w:tcPr>
            <w:tcW w:type="dxa" w:w="4320"/>
          </w:tcPr>
          <w:p>
            <w:r>
              <w:t>2025 (September 17)</w:t>
            </w:r>
          </w:p>
        </w:tc>
      </w:tr>
      <w:tr>
        <w:tc>
          <w:tcPr>
            <w:tcW w:type="dxa" w:w="4320"/>
          </w:tcPr>
          <w:p>
            <w:r>
              <w:t>DOI</w:t>
            </w:r>
          </w:p>
        </w:tc>
        <w:tc>
          <w:tcPr>
            <w:tcW w:type="dxa" w:w="4320"/>
          </w:tcPr>
          <w:p>
            <w:r>
              <w:t>10.1101/2025.09.12.675911</w:t>
            </w:r>
          </w:p>
        </w:tc>
      </w:tr>
      <w:tr>
        <w:tc>
          <w:tcPr>
            <w:tcW w:type="dxa" w:w="4320"/>
          </w:tcPr>
          <w:p>
            <w:r>
              <w:t>PMID/arXiv</w:t>
            </w:r>
          </w:p>
        </w:tc>
        <w:tc>
          <w:tcPr>
            <w:tcW w:type="dxa" w:w="4320"/>
          </w:tcPr>
          <w:p>
            <w:r>
              <w:t>N/A (bioRxiv preprint; 査読誌掲載前)</w:t>
            </w:r>
          </w:p>
        </w:tc>
      </w:tr>
      <w:tr>
        <w:tc>
          <w:tcPr>
            <w:tcW w:type="dxa" w:w="4320"/>
          </w:tcPr>
          <w:p>
            <w:r>
              <w:t>分野</w:t>
            </w:r>
          </w:p>
        </w:tc>
        <w:tc>
          <w:tcPr>
            <w:tcW w:type="dxa" w:w="4320"/>
          </w:tcPr>
          <w:p>
            <w:r>
              <w:t>合成生物学 / AI創薬</w:t>
            </w:r>
          </w:p>
        </w:tc>
      </w:tr>
    </w:tbl>
    <w:p>
      <w:pPr>
        <w:pStyle w:val="Heading2"/>
      </w:pPr>
      <w:r>
        <w:t>背景・課題</w:t>
      </w:r>
    </w:p>
    <w:p>
      <w:r>
        <w:t>ゲノム言語モデル（genome LM）はタンパク質設計では成功を収めてきたが、機能的なウイルスゲノム全体を de novo で設計できるかは未検証であった。バクテリオファージゲノムは複数の重複読み枠と複雑な遺伝子間相互作用を持つため、配列設計の難易度は単一遺伝子とは比較にならない高さがある。本研究はゲノムスケールのAI生成が実際に生存可能なファージを生み出せるかを初めて問うた。</w:t>
      </w:r>
    </w:p>
    <w:p>
      <w:pPr>
        <w:pStyle w:val="Heading2"/>
      </w:pPr>
      <w:r>
        <w:t>手法</w:t>
      </w:r>
    </w:p>
    <w:p>
      <w:r>
        <w:t>Arc InstituteとStanford大学のチームは、Microviridae科約15,000ゲノムで事前学習したゲノム言語モデル Evo 1 および Evo 2 を利用した。設計対象として高度に研究されたφX174（ゲノム長5.4 kb、11遺伝子）を選定した。重複読み枠への対処を可能にするカスタム遺伝子アノテーションパイプライン・プロンプトエンジニアリング戦略・合成ファージゲノムのスクリーニングプロトコルを新たに構築した。約300種のAI生成ゲノムを化学合成してE. coli宿主に導入し、プラーク形成能で生存性を判定した。有望株についてはクライオ電子顕微鏡（cryo-EM）による構造解析と競合実験を行った。</w:t>
      </w:r>
    </w:p>
    <w:p>
      <w:pPr>
        <w:pStyle w:val="Heading2"/>
      </w:pPr>
      <w:r>
        <w:t>結果</w:t>
      </w:r>
    </w:p>
    <w:p>
      <w:r>
        <w:t>約300設計中16種の生存可能なファージを取得（成功率約5.3%）し、これらは実質的な進化的新規性を持つ。得られたファージは天然タンパク質との平均アミノ酸同一性が最低63%と低く、自然界には存在しない配列空間を占有していることを確認した。複数のAI設計株はφX174との増殖競合試験で高い適応度を示し、溶菌動態も改善された。AI設計ファージカクテルは、3株のE. coliにおけるφX174耐性を急速に克服した。cryo-EMで1株が自然界とは進化的に遠縁のDNAパッケージングタンパク質をカプシドに利用することを発見した。この結果は、ゲノムスケールでの生成的AI設計が機能的・生存可能な新規ウイルスを産出できることを初めて示す。</w:t>
      </w:r>
    </w:p>
    <w:p>
      <w:pPr>
        <w:pStyle w:val="Heading2"/>
      </w:pPr>
      <w:r>
        <w:t>考察・新規性</w:t>
      </w:r>
    </w:p>
    <w:p>
      <w:r>
        <w:t>本研究は、AIによるファージゲノム全体の de novo 設計という前例のないマイルストーンを達成した。既存研究（ホスト予測・配列分類）とは異なり、AIが設計者として機能し、自然進化では到達しにくい配列空間のファージを産出できることを実証した点に最大の新規性がある。Evo言語モデルの適用をタンパク質スケールからゲノムスケールへと拡張した技術的先駆事例でもある。</w:t>
      </w:r>
    </w:p>
    <w:p>
      <w:pPr>
        <w:pStyle w:val="Heading2"/>
      </w:pPr>
      <w:r>
        <w:t>限界と今後の展望</w:t>
      </w:r>
    </w:p>
    <w:p>
      <w:r>
        <w:t>現時点では小型一本鎖DNAファージ（φX174、5.4 kb）に限定されており、複雑な大型ゲノム（テールファージ等）への一般化にはさらなる手法改良が必要である。プレプリント段階であり、査読・独立再現実験による検証が待たれる。宿主域制御・治療用途への安全性評価も今後の重要課題である。</w:t>
      </w:r>
    </w:p>
    <w:p>
      <w:pPr>
        <w:pStyle w:val="Heading2"/>
      </w:pPr>
      <w:r>
        <w:t>トピックへのインプリケーション</w:t>
      </w:r>
    </w:p>
    <w:p>
      <w:r>
        <w:t>ゲノムLMによるファージ de novo 設計は、T3（AI活用ファージ研究）の最前線を示すとともに、T2（人工ファージ合成）においても設計→合成→検証の統合パイプライン構築への道を開く。</w:t>
      </w:r>
    </w:p>
    <w:p>
      <w:r>
        <w:t>Metadata: PMID=N/A; DOI=10.1101/2025.09.12.675911; topic=3; generated=2026-05-07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