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Computational Pipeline for Targeted Integration and Variable Payload Expression in Bacteriophage Engineering</w:t>
      </w:r>
    </w:p>
    <w:p>
      <w:pPr>
        <w:pStyle w:val="Heading2"/>
      </w:pPr>
      <w:r>
        <w:t>日本語訳タイトル</w:t>
      </w:r>
    </w:p>
    <w:p>
      <w:r>
        <w:t>バクテリオファージエンジニアリングにおけるペイロード標的組み込みと可変発現のための計算パイプライン</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Jonas Fernbach, Emese Hegedis, Martin J. Loessner, Samuel Kilcher</w:t>
            </w:r>
          </w:p>
        </w:tc>
      </w:tr>
      <w:tr>
        <w:tc>
          <w:tcPr>
            <w:tcW w:type="dxa" w:w="4320"/>
          </w:tcPr>
          <w:p>
            <w:r>
              <w:t>誌名</w:t>
            </w:r>
          </w:p>
        </w:tc>
        <w:tc>
          <w:tcPr>
            <w:tcW w:type="dxa" w:w="4320"/>
          </w:tcPr>
          <w:p>
            <w:r>
              <w:t>ACS Synthetic Biology, Vol. 14, No. 10, pp. 4037-4046 (2025)</w:t>
            </w:r>
          </w:p>
        </w:tc>
      </w:tr>
      <w:tr>
        <w:tc>
          <w:tcPr>
            <w:tcW w:type="dxa" w:w="4320"/>
          </w:tcPr>
          <w:p>
            <w:r>
              <w:t>出版年</w:t>
            </w:r>
          </w:p>
        </w:tc>
        <w:tc>
          <w:tcPr>
            <w:tcW w:type="dxa" w:w="4320"/>
          </w:tcPr>
          <w:p>
            <w:r>
              <w:t>2025</w:t>
            </w:r>
          </w:p>
        </w:tc>
      </w:tr>
      <w:tr>
        <w:tc>
          <w:tcPr>
            <w:tcW w:type="dxa" w:w="4320"/>
          </w:tcPr>
          <w:p>
            <w:r>
              <w:t>DOI</w:t>
            </w:r>
          </w:p>
        </w:tc>
        <w:tc>
          <w:tcPr>
            <w:tcW w:type="dxa" w:w="4320"/>
          </w:tcPr>
          <w:p>
            <w:r>
              <w:t>10.1021/acssynbio.5c00450</w:t>
            </w:r>
          </w:p>
        </w:tc>
      </w:tr>
      <w:tr>
        <w:tc>
          <w:tcPr>
            <w:tcW w:type="dxa" w:w="4320"/>
          </w:tcPr>
          <w:p>
            <w:r>
              <w:t>PMID / arXiv ID</w:t>
            </w:r>
          </w:p>
        </w:tc>
        <w:tc>
          <w:tcPr>
            <w:tcW w:type="dxa" w:w="4320"/>
          </w:tcPr>
          <w:p>
            <w:r>
              <w:t>40982657</w:t>
            </w:r>
          </w:p>
        </w:tc>
      </w:tr>
    </w:tbl>
    <w:p>
      <w:pPr>
        <w:pStyle w:val="Heading2"/>
      </w:pPr>
      <w:r>
        <w:t>背景・課題</w:t>
      </w:r>
    </w:p>
    <w:p>
      <w:r>
        <w:t>バクテリオファージは多剤耐性菌の代替治療薬として有望視されており、抗菌ペイロード（毒素、CRISPR等）をゲノムに組み込む工学的手法が活発に研究されている。しかし、毒性ペイロードを持つ改変ファージは宿主細菌の早期シャットダウンにより子孫が産生されないという根本的課題があった。最適な組み込み部位の予測と発現量の合理的制御を可能にする体系的な計算フレームワークが強く求められていた。</w:t>
      </w:r>
    </w:p>
    <w:p>
      <w:pPr>
        <w:pStyle w:val="Heading2"/>
      </w:pPr>
      <w:r>
        <w:t>手法</w:t>
      </w:r>
    </w:p>
    <w:p>
      <w:r>
        <w:t>機械学習ベースのプロモーター予測ツールPhagePromoterを用いて、Staphylococcus phage Kのゲノム内で発現プロファイルが良好なゲノム間領域（intergenic loci）を同定した。同定された3か所の部位に、相同組換えを用いて生物発光レポーター遺伝子（luxABCDE, Photorhabdus luminescens由来）を挿入した組換えファージK-lux1、K-lux2、K-lux3を構築した。各組換えファージの感染性をプラークアッセイで確認し、バースト量を野生型ファージKと比較した。生物発光シグナルを相対光単位（RLU）で定量し、PhagePromoterによる予測発現強度スコアとの相関を統計解析した。</w:t>
      </w:r>
    </w:p>
    <w:p>
      <w:pPr>
        <w:pStyle w:val="Heading2"/>
      </w:pPr>
      <w:r>
        <w:t>結果</w:t>
      </w:r>
    </w:p>
    <w:p>
      <w:r>
        <w:t>3種全ての組換えファージ（K-lux1、K-lux2、K-lux3）で感染性が維持され、バースト量は野生型の50〜90%であった。生物発光シグナルはK-lux3 &gt; K-lux2 &gt; K-lux1の順で最大10倍以上の差が認められ、組み込み部位の重要性を実証した。PhagePromoterによる予測発現強度スコアと実測RLUの間に有意な正の相関（r = 0.94）が確認された。最高発現を示したK-lux3は、PhagePromoterが予測した最強プロモーター下流の部位に対応していた。本パイプラインにより、実験的試行錯誤なしに最適な組み込み部位を事前に予測できることが証明された。</w:t>
      </w:r>
    </w:p>
    <w:p>
      <w:pPr>
        <w:pStyle w:val="Heading2"/>
      </w:pPr>
      <w:r>
        <w:t>考察・新規性</w:t>
      </w:r>
    </w:p>
    <w:p>
      <w:r>
        <w:t>計算予測と実験検証を統合した本パイプラインは、毒性ペイロードを持つ治療用ファージの設計プロセスを合理化する点で高い新規性を持つ。PhagePromoterを実際のファージゲノムエンジニアリングに統合・実証したのは本研究が初であり、他のファージ系への展開が期待される。発現量の可変制御が可能になることで、治療ウインドウ（有効濃度範囲）の最適化や副作用抑制に直接応用できる。</w:t>
      </w:r>
    </w:p>
    <w:p>
      <w:pPr>
        <w:pStyle w:val="Heading2"/>
      </w:pPr>
      <w:r>
        <w:t>限界と今後の展望</w:t>
      </w:r>
    </w:p>
    <w:p>
      <w:r>
        <w:t>現時点でStaphylococcus phage K一種での検証に限られており、他ファージへの汎用性は追加実験で確認が必要である。生物発光レポーターと実際の抗菌ペイロード（毒素等）では発現ダイナミクスが異なる可能性があり、毒性ペイロードを用いた直接検証が課題として残る。</w:t>
      </w:r>
    </w:p>
    <w:p>
      <w:pPr>
        <w:pStyle w:val="Heading2"/>
      </w:pPr>
      <w:r>
        <w:t>トピックへのインプリケーション</w:t>
      </w:r>
    </w:p>
    <w:p>
      <w:r>
        <w:t>合成・改変ファージの迅速・合理的設計を可能にし、治療用ファージライブラリや精密カスタムファージの開発を加速する重要ツールとなる。</w:t>
      </w:r>
    </w:p>
    <w:p>
      <w:r>
        <w:t>Metadata: PMID=40982657; DOI=10.1021/acssynbio.5c00450; topic=2; generated=2026-06-25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