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Yu Gothic" w:hAnsi="Yu Gothic" w:eastAsia="Yu Gothic"/>
        </w:rPr>
        <w:t>Safety, pharmacokinetics, and pharmacodynamics of LBP-EC01, a CRISPR-Cas3-enhanced bacteriophage cocktail, in uncomplicated urinary tract infections due to Escherichia coli (ELIMINATE): the randomised, open-label, first part of a two-part phase 2 trial</w:t>
      </w:r>
    </w:p>
    <w:p>
      <w:pPr>
        <w:pStyle w:val="Heading2"/>
      </w:pPr>
      <w:r>
        <w:rPr>
          <w:rFonts w:ascii="Yu Gothic" w:hAnsi="Yu Gothic" w:eastAsia="Yu Gothic"/>
        </w:rPr>
        <w:t>日本語訳タイトル</w:t>
      </w:r>
    </w:p>
    <w:p>
      <w:r>
        <w:rPr>
          <w:rFonts w:ascii="Yu Gothic" w:hAnsi="Yu Gothic"/>
        </w:rPr>
        <w:t>CRISPR-Cas3強化型バクテリオファージカクテルLBP-EC01の大腸菌性非合併症性尿路感染症における安全性・薬物動態・薬力学（ELIMINATE）：2部構成第2相試験の第1部 ランダム化非盲検試験</w:t>
      </w:r>
    </w:p>
    <w:p>
      <w:pPr>
        <w:pStyle w:val="Heading2"/>
      </w:pPr>
      <w:r>
        <w:rPr>
          <w:rFonts w:ascii="Yu Gothic" w:hAnsi="Yu Gothic" w:eastAsia="Yu Gothic"/>
        </w:rPr>
        <w:t>書誌情報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著者</w:t>
            </w:r>
          </w:p>
        </w:tc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Kim P, Sanchez AM, Penke TJR, et al. (Locus Biosciences / 米国多施設共同)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誌名</w:t>
            </w:r>
          </w:p>
        </w:tc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The Lancet Infectious Diseases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出版年</w:t>
            </w:r>
          </w:p>
        </w:tc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DOI</w:t>
            </w:r>
          </w:p>
        </w:tc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10.1016/S1473-3099(24)00424-9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PMID / arXiv ID</w:t>
            </w:r>
          </w:p>
        </w:tc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39134085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</w:rPr>
        <w:t>背景・課題</w:t>
      </w:r>
    </w:p>
    <w:p>
      <w:r>
        <w:rPr>
          <w:rFonts w:ascii="Yu Gothic" w:hAnsi="Yu Gothic"/>
        </w:rPr>
        <w:t>多剤耐性大腸菌（E. coli）による尿路感染症（UTI）は世界的に増加しており、抗菌薬代替治療が急務である。CRISPR-Cas3を搭載したファージカクテルLBP-EC01は、I型CRISPR-CasシステムによりE. coliゲノムを標的とする二重殺菌機構（天然溶菌作用＋DNA切断）を持つ操作型ファージ製品であり、ヒト臨床試験による実証が求められていた。</w:t>
      </w:r>
    </w:p>
    <w:p>
      <w:pPr>
        <w:pStyle w:val="Heading2"/>
      </w:pPr>
      <w:r>
        <w:rPr>
          <w:rFonts w:ascii="Yu Gothic" w:hAnsi="Yu Gothic" w:eastAsia="Yu Gothic"/>
        </w:rPr>
        <w:t>手法</w:t>
      </w:r>
    </w:p>
    <w:p>
      <w:r>
        <w:rPr>
          <w:rFonts w:ascii="Yu Gothic" w:hAnsi="Yu Gothic"/>
        </w:rPr>
        <w:t>米国6施設でのランダム化非盲検第2相試験（ELIMINATE試験第1部）として実施。LBP-EC01は6種ファージカクテル（3種：野生型溶菌ファージ、3種：I型CRISPR-Cas3を搭載した操作ファージ）で構成。投与レジメン：尿道内LBP-EC01（2日間）＋静脈内LBP-EC01（3日間、1×10¹⁰ PFU）＋経口TMP-SMX（2回/日・3日間）。対象：抗菌薬耐性または多剤耐性E. coliによる急性非合併症性UTI患者。主要評価項目：安全性（忍容性）、尿中・血中薬物動態、Day 10における細菌学的治癒率（尿中菌数 ＜10³ CFU/mL）。</w:t>
      </w:r>
    </w:p>
    <w:p>
      <w:pPr>
        <w:pStyle w:val="Heading2"/>
      </w:pPr>
      <w:r>
        <w:rPr>
          <w:rFonts w:ascii="Yu Gothic" w:hAnsi="Yu Gothic" w:eastAsia="Yu Gothic"/>
        </w:rPr>
        <w:t>結果</w:t>
      </w:r>
    </w:p>
    <w:p>
      <w:r>
        <w:rPr>
          <w:rFonts w:ascii="Yu Gothic" w:hAnsi="Yu Gothic"/>
        </w:rPr>
        <w:t>評価可能患者16名全員（100%）がDay 10にUTI症状の完全消失を達成。87.5%（14/16名）が細菌学的治癒または有意な菌数減少（＞2 log₁₀ CFU/mL低下）を示した。LBP-EC01は尿中・血中双方で一貫した薬物動態プロファイルを呈し、再現性を確認。Day 34においても症状再発は認められず、持続的な効果を示した。重篤な有害事象の報告なし。CRISPR-Cas3搭載ファージは野生型ファージとの相乗効果でE. coliを迅速に減少させた。本試験はCRISPR強化型ファージ療法の初のヒト第2相臨床試験として、フィールドの標準確立に貢献した。</w:t>
      </w:r>
    </w:p>
    <w:p>
      <w:pPr>
        <w:pStyle w:val="Heading2"/>
      </w:pPr>
      <w:r>
        <w:rPr>
          <w:rFonts w:ascii="Yu Gothic" w:hAnsi="Yu Gothic" w:eastAsia="Yu Gothic"/>
        </w:rPr>
        <w:t>考察・新規性</w:t>
      </w:r>
    </w:p>
    <w:p>
      <w:r>
        <w:rPr>
          <w:rFonts w:ascii="Yu Gothic" w:hAnsi="Yu Gothic"/>
        </w:rPr>
        <w:t>本試験はCRISPR強化型ファージカクテルがヒト患者においてE. coliを選択的に除去しうることを示す初の臨床エビデンスを提供した。天然溶菌作用とCRISPR-Cas3による二重機構がファージ抵抗性変異の発生を抑制し得ると考えられる。尿路という体腔内で観察されたファージ-宿主相互作用の実証は、腸内菌叢や他の部位での菌叢改変応用への道を開く。ファージ療法の標準化・規制化に向けた重要なマイルストーンとなる。</w:t>
      </w:r>
    </w:p>
    <w:p>
      <w:pPr>
        <w:pStyle w:val="Heading2"/>
      </w:pPr>
      <w:r>
        <w:rPr>
          <w:rFonts w:ascii="Yu Gothic" w:hAnsi="Yu Gothic" w:eastAsia="Yu Gothic"/>
        </w:rPr>
        <w:t>限界と今後の展望</w:t>
      </w:r>
    </w:p>
    <w:p>
      <w:r>
        <w:rPr>
          <w:rFonts w:ascii="Yu Gothic" w:hAnsi="Yu Gothic"/>
        </w:rPr>
        <w:t>単群オープンラベル設計で症例数（n=16）が限定的であり、TMP-SMXとの相加効果の独立した評価が困難。第2部（二重盲検ランダム化比較試験）の結果が待たれる。尿路感染症という局所的な部位への適用であり、腸内菌叢など複雑な生態系への外挿には検討が必要。</w:t>
      </w:r>
    </w:p>
    <w:p>
      <w:pPr>
        <w:pStyle w:val="Heading2"/>
      </w:pPr>
      <w:r>
        <w:rPr>
          <w:rFonts w:ascii="Yu Gothic" w:hAnsi="Yu Gothic" w:eastAsia="Yu Gothic"/>
        </w:rPr>
        <w:t>トピックへのインプリケーション</w:t>
      </w:r>
    </w:p>
    <w:p>
      <w:r>
        <w:rPr>
          <w:rFonts w:ascii="Yu Gothic" w:hAnsi="Yu Gothic"/>
        </w:rPr>
        <w:t>CRISPR強化型ファージカクテルによる選択的菌叢改変の臨床実証は、抗菌薬耐性菌に対するファージ療法の精密化・標準化を加速し、菌叢制御の新パラダイムを示す。</w:t>
      </w:r>
    </w:p>
    <w:p>
      <w:r>
        <w:t>Metadata: PMID=39134085; DOI=10.1016/S1473-3099(24)00424-9; topic=1; generated=2026-06-28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