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Yu Gothic" w:hAnsi="Yu Gothic" w:eastAsia="Yu Gothic"/>
        </w:rPr>
        <w:t>A machine learning approach to predict strain-specific phage-host interactions</w:t>
      </w:r>
    </w:p>
    <w:p>
      <w:pPr>
        <w:pStyle w:val="Heading2"/>
      </w:pPr>
      <w:r>
        <w:rPr>
          <w:rFonts w:ascii="Yu Gothic" w:hAnsi="Yu Gothic" w:eastAsia="Yu Gothic"/>
        </w:rPr>
        <w:t>日本語訳タイトル</w:t>
      </w:r>
    </w:p>
    <w:p>
      <w:r>
        <w:rPr>
          <w:rFonts w:ascii="Yu Gothic" w:hAnsi="Yu Gothic"/>
        </w:rPr>
        <w:t>菌株特異的ファージ-宿主相互作用を予測する機械学習アプローチ</w:t>
      </w:r>
    </w:p>
    <w:p>
      <w:pPr>
        <w:pStyle w:val="Heading2"/>
      </w:pPr>
      <w:r>
        <w:rPr>
          <w:rFonts w:ascii="Yu Gothic" w:hAnsi="Yu Gothic" w:eastAsia="Yu Gothic"/>
        </w:rPr>
        <w:t>書誌情報</w:t>
      </w:r>
    </w:p>
    <w:tbl>
      <w:tblPr>
        <w:tblStyle w:val="TableGrid"/>
        <w:tblW w:type="auto" w:w="0"/>
        <w:tblLook w:firstColumn="1" w:firstRow="1" w:lastColumn="0" w:lastRow="0" w:noHBand="0" w:noVBand="1" w:val="04A0"/>
      </w:tblPr>
      <w:tblGrid>
        <w:gridCol w:w="4320"/>
        <w:gridCol w:w="4320"/>
      </w:tblGrid>
      <w:tr>
        <w:tc>
          <w:tcPr>
            <w:tcW w:type="dxa" w:w="4320"/>
          </w:tcPr>
          <w:p>
            <w:r>
              <w:rPr>
                <w:rFonts w:ascii="Yu Gothic" w:hAnsi="Yu Gothic"/>
                <w:sz w:val="18"/>
              </w:rPr>
              <w:t>著者</w:t>
            </w:r>
          </w:p>
        </w:tc>
        <w:tc>
          <w:tcPr>
            <w:tcW w:type="dxa" w:w="4320"/>
          </w:tcPr>
          <w:p>
            <w:r>
              <w:rPr>
                <w:rFonts w:ascii="Yu Gothic" w:hAnsi="Yu Gothic"/>
                <w:sz w:val="18"/>
              </w:rPr>
              <w:t>Camejo PY, Rojas F, Ossa A, Hurtado R, Tichy D, Pieringer C, Pino M, Mora-Uribe P, Ulloa S, Norambuena R, Tobar-Calfucoy E, Aguilera M, Rojas-Martínez V, Cifuentes O, Sabag A, Cifuentes N, San Martín D, Infante C, Cifuentes P, Pieringer H, León LE, et al.</w:t>
            </w:r>
          </w:p>
        </w:tc>
      </w:tr>
      <w:tr>
        <w:tc>
          <w:tcPr>
            <w:tcW w:type="dxa" w:w="4320"/>
          </w:tcPr>
          <w:p>
            <w:r>
              <w:rPr>
                <w:rFonts w:ascii="Yu Gothic" w:hAnsi="Yu Gothic"/>
                <w:sz w:val="18"/>
              </w:rPr>
              <w:t>誌名</w:t>
            </w:r>
          </w:p>
        </w:tc>
        <w:tc>
          <w:tcPr>
            <w:tcW w:type="dxa" w:w="4320"/>
          </w:tcPr>
          <w:p>
            <w:r>
              <w:rPr>
                <w:rFonts w:ascii="Yu Gothic" w:hAnsi="Yu Gothic"/>
                <w:sz w:val="18"/>
              </w:rPr>
              <w:t>Scientific Reports (Nature Portfolio)</w:t>
            </w:r>
          </w:p>
        </w:tc>
      </w:tr>
      <w:tr>
        <w:tc>
          <w:tcPr>
            <w:tcW w:type="dxa" w:w="4320"/>
          </w:tcPr>
          <w:p>
            <w:r>
              <w:rPr>
                <w:rFonts w:ascii="Yu Gothic" w:hAnsi="Yu Gothic"/>
                <w:sz w:val="18"/>
              </w:rPr>
              <w:t>出版年</w:t>
            </w:r>
          </w:p>
        </w:tc>
        <w:tc>
          <w:tcPr>
            <w:tcW w:type="dxa" w:w="4320"/>
          </w:tcPr>
          <w:p>
            <w:r>
              <w:rPr>
                <w:rFonts w:ascii="Yu Gothic" w:hAnsi="Yu Gothic"/>
                <w:sz w:val="18"/>
              </w:rPr>
              <w:t>2025</w:t>
            </w:r>
          </w:p>
        </w:tc>
      </w:tr>
      <w:tr>
        <w:tc>
          <w:tcPr>
            <w:tcW w:type="dxa" w:w="4320"/>
          </w:tcPr>
          <w:p>
            <w:r>
              <w:rPr>
                <w:rFonts w:ascii="Yu Gothic" w:hAnsi="Yu Gothic"/>
                <w:sz w:val="18"/>
              </w:rPr>
              <w:t>DOI</w:t>
            </w:r>
          </w:p>
        </w:tc>
        <w:tc>
          <w:tcPr>
            <w:tcW w:type="dxa" w:w="4320"/>
          </w:tcPr>
          <w:p>
            <w:r>
              <w:rPr>
                <w:rFonts w:ascii="Yu Gothic" w:hAnsi="Yu Gothic"/>
                <w:sz w:val="18"/>
              </w:rPr>
              <w:t>10.1038/s41598-025-22075-2</w:t>
            </w:r>
          </w:p>
        </w:tc>
      </w:tr>
      <w:tr>
        <w:tc>
          <w:tcPr>
            <w:tcW w:type="dxa" w:w="4320"/>
          </w:tcPr>
          <w:p>
            <w:r>
              <w:rPr>
                <w:rFonts w:ascii="Yu Gothic" w:hAnsi="Yu Gothic"/>
                <w:sz w:val="18"/>
              </w:rPr>
              <w:t>PMID / arXiv ID</w:t>
            </w:r>
          </w:p>
        </w:tc>
        <w:tc>
          <w:tcPr>
            <w:tcW w:type="dxa" w:w="4320"/>
          </w:tcPr>
          <w:p>
            <w:r>
              <w:rPr>
                <w:rFonts w:ascii="Yu Gothic" w:hAnsi="Yu Gothic"/>
                <w:sz w:val="18"/>
              </w:rPr>
              <w:t>41174147 (PMC: PMC12579225)</w:t>
            </w:r>
          </w:p>
        </w:tc>
      </w:tr>
    </w:tbl>
    <w:p>
      <w:pPr>
        <w:pStyle w:val="Heading2"/>
      </w:pPr>
      <w:r>
        <w:rPr>
          <w:rFonts w:ascii="Yu Gothic" w:hAnsi="Yu Gothic" w:eastAsia="Yu Gothic"/>
        </w:rPr>
        <w:t>背景・課題</w:t>
      </w:r>
    </w:p>
    <w:p>
      <w:r>
        <w:rPr>
          <w:rFonts w:ascii="Yu Gothic" w:hAnsi="Yu Gothic"/>
        </w:rPr>
        <w:t>抗菌薬耐性菌に対するファージ療法の実用化において、適切なファージの選択には宿主菌株レベルでの感受性特定が不可欠であるが、従来の実験的宿主域決定は費用・時間を要する。タンパク質-タンパク質相互作用（PPI）データベースを活用した計算論的予測手法の開発により、菌株特異的なファージ-宿主相互作用をin silicoで事前評価する道が開かれている。</w:t>
      </w:r>
    </w:p>
    <w:p>
      <w:pPr>
        <w:pStyle w:val="Heading2"/>
      </w:pPr>
      <w:r>
        <w:rPr>
          <w:rFonts w:ascii="Yu Gothic" w:hAnsi="Yu Gothic" w:eastAsia="Yu Gothic"/>
        </w:rPr>
        <w:t>手法</w:t>
      </w:r>
    </w:p>
    <w:p>
      <w:r>
        <w:rPr>
          <w:rFonts w:ascii="Yu Gothic" w:hAnsi="Yu Gothic"/>
        </w:rPr>
        <w:t>10種のSalmonella enterica phageおよび3種のEscherichia coliファージを用いた実験的宿主域データセットを構築。ファージ-細菌間タンパク質-タンパク質相互作用（PPI）をSTRINGデータベース等から予測し特徴量として使用。ランダムフォレスト・サポートベクターマシン等の複数MLアルゴリズムを比較評価。抗菌薬耐性SalmonellaおよびEscherichia属ファージを対象に5分割交差検証で精度を評価した。PPIベースの特徴量とゲノム配列ベースの特徴量を比較することで付加価値を検証。</w:t>
      </w:r>
    </w:p>
    <w:p>
      <w:pPr>
        <w:pStyle w:val="Heading2"/>
      </w:pPr>
      <w:r>
        <w:rPr>
          <w:rFonts w:ascii="Yu Gothic" w:hAnsi="Yu Gothic" w:eastAsia="Yu Gothic"/>
        </w:rPr>
        <w:t>結果</w:t>
      </w:r>
    </w:p>
    <w:p>
      <w:r>
        <w:rPr>
          <w:rFonts w:ascii="Yu Gothic" w:hAnsi="Yu Gothic"/>
        </w:rPr>
        <w:t>Salmonella enterica対応ファージの予測精度は78〜92%（ファージ種によって異なる）。Escherichia coliファージCBDS-07は最高精度94%を達成。PPIベース特徴量はゲノム配列のみを用いた従来手法より予測精度が向上した。本モデルは多剤耐性菌株への感受性をin silicoで事前評価でき、実験的スクリーニングを大幅に絞り込める。ファージカクテル構成の計算論的設計支援ツールとしての有望性が実証された。異なるファージ種間で予測精度にばらつきがあり、宿主域決定因子の多様性を反映する。</w:t>
      </w:r>
    </w:p>
    <w:p>
      <w:pPr>
        <w:pStyle w:val="Heading2"/>
      </w:pPr>
      <w:r>
        <w:rPr>
          <w:rFonts w:ascii="Yu Gothic" w:hAnsi="Yu Gothic" w:eastAsia="Yu Gothic"/>
        </w:rPr>
        <w:t>考察・新規性</w:t>
      </w:r>
    </w:p>
    <w:p>
      <w:r>
        <w:rPr>
          <w:rFonts w:ascii="Yu Gothic" w:hAnsi="Yu Gothic"/>
        </w:rPr>
        <w:t>PPIを特徴量に用いることで、ゲノム類似性のみでは捉えられない宿主相互作用の特異性が反映される。予測精度のファージ種間ばらつきは、各ファージのテイルスパイク・テイルファイバー多様性に起因すると考えられる。本アプローチはメタゲノムデータからの新規ファージ-宿主ペアの高速スクリーニングにも拡張可能であり、大規模ファージライブラリーの探索に貢献しうる。</w:t>
      </w:r>
    </w:p>
    <w:p>
      <w:pPr>
        <w:pStyle w:val="Heading2"/>
      </w:pPr>
      <w:r>
        <w:rPr>
          <w:rFonts w:ascii="Yu Gothic" w:hAnsi="Yu Gothic" w:eastAsia="Yu Gothic"/>
        </w:rPr>
        <w:t>限界と今後の展望</w:t>
      </w:r>
    </w:p>
    <w:p>
      <w:r>
        <w:rPr>
          <w:rFonts w:ascii="Yu Gothic" w:hAnsi="Yu Gothic"/>
        </w:rPr>
        <w:t>訓練データが13種ファージに限定されており、汎用性拡張には大規模データセットが必要。PPIデータベースの予測誤差がモデル精度に影響し、偽陽性・偽陰性が生じる可能性がある。菌株レベルの実験的検証データが不十分で、独立した試験セットでの評価が必要。</w:t>
      </w:r>
    </w:p>
    <w:p>
      <w:pPr>
        <w:pStyle w:val="Heading2"/>
      </w:pPr>
      <w:r>
        <w:rPr>
          <w:rFonts w:ascii="Yu Gothic" w:hAnsi="Yu Gothic" w:eastAsia="Yu Gothic"/>
        </w:rPr>
        <w:t>トピックへのインプリケーション</w:t>
      </w:r>
    </w:p>
    <w:p>
      <w:r>
        <w:rPr>
          <w:rFonts w:ascii="Yu Gothic" w:hAnsi="Yu Gothic"/>
        </w:rPr>
        <w:t>PPI利用型MLモデルはファージ-宿主予測の新しいパラダイムを提示し、AI駆動型ファージ療法選択ツールの実用化を加速する。</w:t>
      </w:r>
    </w:p>
    <w:p>
      <w:r>
        <w:t>Metadata: PMID=41174147 (PMC: PMC12579225); DOI=10.1038/s41598-025-22075-2; topic=3; generated=2026-06-28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